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160" w:after="283"/>
        <w:jc w:val="center"/>
        <w:rPr/>
      </w:pPr>
      <w:r>
        <w:rPr>
          <w:rFonts w:ascii="Times New Roman;serif" w:hAnsi="Times New Roman;serif"/>
          <w:b w:val="false"/>
          <w:color w:val="000000"/>
          <w:sz w:val="20"/>
        </w:rPr>
        <w:t>Date of Report (Date of earliest event reported):August 10, 2026</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Getty Images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338" w:type="dxa"/>
        <w:jc w:val="left"/>
        <w:tblInd w:w="0" w:type="dxa"/>
        <w:tblLayout w:type="fixed"/>
        <w:tblCellMar>
          <w:top w:w="28" w:type="dxa"/>
          <w:left w:w="28" w:type="dxa"/>
          <w:bottom w:w="28" w:type="dxa"/>
          <w:right w:w="28" w:type="dxa"/>
        </w:tblCellMar>
      </w:tblPr>
      <w:tblGrid>
        <w:gridCol w:w="889"/>
        <w:gridCol w:w="781"/>
        <w:gridCol w:w="790"/>
        <w:gridCol w:w="408"/>
        <w:gridCol w:w="408"/>
        <w:gridCol w:w="413"/>
        <w:gridCol w:w="481"/>
        <w:gridCol w:w="481"/>
        <w:gridCol w:w="687"/>
      </w:tblGrid>
      <w:tr>
        <w:trPr/>
        <w:tc>
          <w:tcPr>
            <w:tcW w:w="8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001-41453</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87-3764229</w:t>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 incorporation)</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w:t>
              <w:br/>
              <w:t>File Number)</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br/>
              <w:t>Identification No.)</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605 5th Ave S. Suite 400</w:t>
      </w:r>
    </w:p>
    <w:p>
      <w:pPr>
        <w:pStyle w:val="TextBody"/>
        <w:bidi w:val="0"/>
        <w:spacing w:lineRule="auto" w:line="288" w:before="0" w:after="0"/>
        <w:jc w:val="center"/>
        <w:rPr/>
      </w:pPr>
      <w:r>
        <w:rPr>
          <w:rFonts w:ascii="Times New Roman;serif" w:hAnsi="Times New Roman;serif"/>
          <w:b/>
          <w:color w:val="000000"/>
          <w:sz w:val="20"/>
        </w:rPr>
        <w:t>Seattle, WA</w:t>
      </w:r>
      <w:r>
        <w:rPr>
          <w:color w:val="000000"/>
        </w:rPr>
        <w:t xml:space="preserve"> </w:t>
      </w:r>
      <w:r>
        <w:rPr>
          <w:rFonts w:ascii="Times New Roman;serif" w:hAnsi="Times New Roman;serif"/>
          <w:b/>
          <w:color w:val="000000"/>
          <w:sz w:val="20"/>
        </w:rPr>
        <w:t>98104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p>
      <w:pPr>
        <w:pStyle w:val="TextBody"/>
        <w:bidi w:val="0"/>
        <w:spacing w:lineRule="auto" w:line="288" w:before="160" w:after="283"/>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(206) 925-5000</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 4(c))</w:t>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6067" w:type="dxa"/>
        <w:jc w:val="left"/>
        <w:tblInd w:w="0" w:type="dxa"/>
        <w:tblLayout w:type="fixed"/>
        <w:tblCellMar>
          <w:top w:w="28" w:type="dxa"/>
          <w:left w:w="28" w:type="dxa"/>
          <w:bottom w:w="28" w:type="dxa"/>
          <w:right w:w="28" w:type="dxa"/>
        </w:tblCellMar>
      </w:tblPr>
      <w:tblGrid>
        <w:gridCol w:w="753"/>
        <w:gridCol w:w="662"/>
        <w:gridCol w:w="669"/>
        <w:gridCol w:w="109"/>
        <w:gridCol w:w="109"/>
        <w:gridCol w:w="109"/>
        <w:gridCol w:w="314"/>
        <w:gridCol w:w="314"/>
        <w:gridCol w:w="316"/>
        <w:gridCol w:w="109"/>
        <w:gridCol w:w="109"/>
        <w:gridCol w:w="109"/>
        <w:gridCol w:w="697"/>
        <w:gridCol w:w="697"/>
        <w:gridCol w:w="991"/>
      </w:tblGrid>
      <w:tr>
        <w:trPr/>
        <w:tc>
          <w:tcPr>
            <w:tcW w:w="75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Trading </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w:t>
              <w:br/>
              <w:t>on which registered</w:t>
            </w:r>
          </w:p>
        </w:tc>
      </w:tr>
      <w:tr>
        <w:trPr/>
        <w:tc>
          <w:tcPr>
            <w:tcW w:w="2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GETY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60" w:after="283"/>
        <w:jc w:val="both"/>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x</w:t>
      </w:r>
    </w:p>
    <w:p>
      <w:pPr>
        <w:pStyle w:val="TextBody"/>
        <w:bidi w:val="0"/>
        <w:spacing w:lineRule="auto" w:line="288" w:before="16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pPr>
      <w:r>
        <w:rPr>
          <w:rFonts w:ascii="Times New Roman;serif" w:hAnsi="Times New Roman;serif"/>
          <w:b/>
          <w:color w:val="000000"/>
          <w:sz w:val="20"/>
        </w:rPr>
        <w:t>Item 2.02</w:t>
      </w:r>
      <w:r>
        <w:rPr>
          <w:color w:val="212529"/>
        </w:rPr>
        <w:t>    </w:t>
      </w:r>
      <w:r>
        <w:rPr>
          <w:rFonts w:ascii="Times New Roman;serif" w:hAnsi="Times New Roman;serif"/>
          <w:b/>
          <w:color w:val="000000"/>
          <w:sz w:val="20"/>
        </w:rPr>
        <w:t>Results of Operations and Financial Condition.</w:t>
      </w:r>
    </w:p>
    <w:p>
      <w:pPr>
        <w:pStyle w:val="TextBody"/>
        <w:bidi w:val="0"/>
        <w:spacing w:lineRule="auto" w:line="288" w:before="200" w:after="283"/>
        <w:ind w:left="0" w:right="0" w:firstLine="720"/>
        <w:jc w:val="both"/>
        <w:rPr/>
      </w:pPr>
      <w:r>
        <w:rPr>
          <w:rFonts w:ascii="Times New Roman;serif" w:hAnsi="Times New Roman;serif"/>
          <w:b w:val="false"/>
          <w:color w:val="212529"/>
          <w:sz w:val="20"/>
        </w:rPr>
        <w:t xml:space="preserve">On </w:t>
      </w:r>
      <w:r>
        <w:rPr>
          <w:rFonts w:ascii="Times New Roman;serif" w:hAnsi="Times New Roman;serif"/>
          <w:b w:val="false"/>
          <w:color w:val="000000"/>
          <w:sz w:val="20"/>
        </w:rPr>
        <w:t>August 10, 2026</w:t>
      </w:r>
      <w:r>
        <w:rPr>
          <w:rFonts w:ascii="Times New Roman;serif" w:hAnsi="Times New Roman;serif"/>
          <w:b w:val="false"/>
          <w:color w:val="212529"/>
          <w:sz w:val="20"/>
        </w:rPr>
        <w:t xml:space="preserve">, Getty Images Holdings, Inc. issued a press release announcing its financial results for the quarter ended </w:t>
      </w:r>
      <w:r>
        <w:rPr>
          <w:rFonts w:ascii="Times New Roman;serif" w:hAnsi="Times New Roman;serif"/>
          <w:b w:val="false"/>
          <w:color w:val="000000"/>
          <w:sz w:val="20"/>
        </w:rPr>
        <w:t>June 30, 2026</w:t>
      </w:r>
      <w:r>
        <w:rPr>
          <w:rFonts w:ascii="Times New Roman;serif" w:hAnsi="Times New Roman;serif"/>
          <w:b w:val="false"/>
          <w:color w:val="212529"/>
          <w:sz w:val="20"/>
        </w:rPr>
        <w:t xml:space="preserve">. A copy of the press release is furnished as Exhibit 99.1 to this report and is incorporated by reference in this Item 2.02. </w:t>
      </w:r>
    </w:p>
    <w:p>
      <w:pPr>
        <w:pStyle w:val="TextBody"/>
        <w:bidi w:val="0"/>
        <w:spacing w:lineRule="auto" w:line="288" w:before="200" w:after="283"/>
        <w:ind w:left="0" w:right="0" w:firstLine="720"/>
        <w:jc w:val="both"/>
        <w:rPr>
          <w:rFonts w:ascii="Times New Roman;serif" w:hAnsi="Times New Roman;serif"/>
          <w:b w:val="false"/>
          <w:color w:val="212529"/>
          <w:sz w:val="20"/>
        </w:rPr>
      </w:pPr>
      <w:r>
        <w:rPr>
          <w:rFonts w:ascii="Times New Roman;serif" w:hAnsi="Times New Roman;serif"/>
          <w:b w:val="false"/>
          <w:color w:val="212529"/>
          <w:sz w:val="20"/>
        </w:rPr>
        <w:t>The information contained in Item 2.02 of this Current Report on Form 8-K (including Exhibit 99.1) is being furnished and shall not be deemed “filed” for the purposes of Section 18 of the Securities Exchange Act of 1934, as amended (the “Exchange Act”), or otherwise subject to the liabilities of that section. Such information shall not be incorporated by reference into any registration statement or other document pursuant to the Securities Act of 1933, as amended, or the Exchange Act, except as shall be expressly set forth by specific reference in any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9.01</w:t>
      </w:r>
      <w:r>
        <w:rPr>
          <w:color w:val="212529"/>
        </w:rPr>
        <w:t>    </w:t>
      </w:r>
      <w:r>
        <w:rPr>
          <w:rFonts w:ascii="Times New Roman;serif" w:hAnsi="Times New Roman;serif"/>
          <w:b/>
          <w:color w:val="000000"/>
          <w:sz w:val="20"/>
        </w:rPr>
        <w:t>Financial Statements and Exhibits.</w:t>
      </w:r>
    </w:p>
    <w:p>
      <w:pPr>
        <w:pStyle w:val="TextBody"/>
        <w:bidi w:val="0"/>
        <w:spacing w:lineRule="auto" w:line="288" w:before="200" w:after="283"/>
        <w:ind w:left="0" w:right="0" w:hanging="630"/>
        <w:jc w:val="both"/>
        <w:rPr/>
      </w:pPr>
      <w:r>
        <w:rPr>
          <w:rFonts w:ascii="Times New Roman;serif" w:hAnsi="Times New Roman;serif"/>
          <w:b w:val="false"/>
          <w:color w:val="000000"/>
          <w:sz w:val="20"/>
        </w:rPr>
        <w:t>(d)</w:t>
      </w:r>
      <w:r>
        <w:rPr>
          <w:rFonts w:ascii="Times New Roman;serif" w:hAnsi="Times New Roman;serif"/>
          <w:b w:val="false"/>
          <w:color w:val="212529"/>
          <w:sz w:val="20"/>
        </w:rPr>
        <w:t>Exhibits.</w:t>
      </w:r>
    </w:p>
    <w:tbl>
      <w:tblPr>
        <w:tblW w:w="7724" w:type="dxa"/>
        <w:jc w:val="left"/>
        <w:tblInd w:w="0" w:type="dxa"/>
        <w:tblLayout w:type="fixed"/>
        <w:tblCellMar>
          <w:top w:w="28" w:type="dxa"/>
          <w:left w:w="28" w:type="dxa"/>
          <w:bottom w:w="28" w:type="dxa"/>
          <w:right w:w="28" w:type="dxa"/>
        </w:tblCellMar>
      </w:tblPr>
      <w:tblGrid>
        <w:gridCol w:w="407"/>
        <w:gridCol w:w="358"/>
        <w:gridCol w:w="359"/>
        <w:gridCol w:w="1929"/>
        <w:gridCol w:w="1929"/>
        <w:gridCol w:w="2742"/>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2742"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Exhibit No. </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Description </w:t>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ety-20260630xex991.htm">
              <w:r>
                <w:rPr>
                  <w:rStyle w:val="InternetLink"/>
                  <w:rFonts w:ascii="Times New Roman;serif" w:hAnsi="Times New Roman;serif"/>
                  <w:b w:val="false"/>
                  <w:color w:val="0000FF"/>
                  <w:sz w:val="20"/>
                  <w:u w:val="single"/>
                </w:rPr>
                <w:t>Press Release, dated August 10, 2026</w:t>
              </w:r>
            </w:hyperlink>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212529"/>
          <w:sz w:val="20"/>
        </w:rPr>
      </w:pPr>
      <w:r>
        <w:rPr>
          <w:rFonts w:ascii="Times New Roman;serif" w:hAnsi="Times New Roman;serif"/>
          <w:b/>
          <w:color w:val="212529"/>
          <w:sz w:val="20"/>
        </w:rPr>
        <w:t>SIGNATURES</w:t>
      </w:r>
    </w:p>
    <w:p>
      <w:pPr>
        <w:pStyle w:val="TextBody"/>
        <w:bidi w:val="0"/>
        <w:spacing w:lineRule="auto" w:line="288" w:before="200" w:after="283"/>
        <w:jc w:val="both"/>
        <w:rPr>
          <w:rFonts w:ascii="Times New Roman;serif" w:hAnsi="Times New Roman;serif"/>
          <w:b w:val="false"/>
          <w:color w:val="212529"/>
          <w:sz w:val="20"/>
        </w:rPr>
      </w:pPr>
      <w:r>
        <w:rPr>
          <w:rFonts w:ascii="Times New Roman;serif" w:hAnsi="Times New Roman;serif"/>
          <w:b w:val="false"/>
          <w:color w:val="212529"/>
          <w:sz w:val="20"/>
        </w:rPr>
        <w:t>Pursuant to the requirements of the Securities Exchange Act of 1934, the registrant has duly caused this report to be signed on its behalf by the undersigned hereunto duly authorized.</w:t>
      </w:r>
    </w:p>
    <w:tbl>
      <w:tblPr>
        <w:tblW w:w="8478" w:type="dxa"/>
        <w:jc w:val="left"/>
        <w:tblInd w:w="0" w:type="dxa"/>
        <w:tblLayout w:type="fixed"/>
        <w:tblCellMar>
          <w:top w:w="28" w:type="dxa"/>
          <w:left w:w="28" w:type="dxa"/>
          <w:bottom w:w="28" w:type="dxa"/>
          <w:right w:w="28" w:type="dxa"/>
        </w:tblCellMar>
      </w:tblPr>
      <w:tblGrid>
        <w:gridCol w:w="705"/>
        <w:gridCol w:w="621"/>
        <w:gridCol w:w="624"/>
        <w:gridCol w:w="386"/>
        <w:gridCol w:w="386"/>
        <w:gridCol w:w="386"/>
        <w:gridCol w:w="1558"/>
        <w:gridCol w:w="1558"/>
        <w:gridCol w:w="225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6528"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212529"/>
                <w:sz w:val="20"/>
              </w:rPr>
            </w:pPr>
            <w:r>
              <w:rPr>
                <w:rFonts w:ascii="Times New Roman;serif" w:hAnsi="Times New Roman;serif"/>
                <w:b/>
                <w:color w:val="212529"/>
                <w:sz w:val="20"/>
              </w:rPr>
              <w:t>Getty Images Holdings,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12529"/>
                <w:sz w:val="20"/>
              </w:rPr>
            </w:pPr>
            <w:r>
              <w:rPr>
                <w:rFonts w:ascii="Times New Roman;serif" w:hAnsi="Times New Roman;serif"/>
                <w:b w:val="false"/>
                <w:color w:val="212529"/>
                <w:sz w:val="20"/>
              </w:rPr>
              <w:t>/s/ Kjelti Kellough</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3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12529"/>
                <w:sz w:val="20"/>
              </w:rPr>
            </w:pPr>
            <w:r>
              <w:rPr>
                <w:rFonts w:ascii="Times New Roman;serif" w:hAnsi="Times New Roman;serif"/>
                <w:b w:val="false"/>
                <w:color w:val="212529"/>
                <w:sz w:val="20"/>
              </w:rPr>
              <w:t>Kjelti Kellough</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3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12529"/>
                <w:sz w:val="20"/>
              </w:rPr>
            </w:pPr>
            <w:r>
              <w:rPr>
                <w:rFonts w:ascii="Times New Roman;serif" w:hAnsi="Times New Roman;serif"/>
                <w:b w:val="false"/>
                <w:color w:val="212529"/>
                <w:sz w:val="20"/>
              </w:rPr>
              <w:t>Senior Vice President, General Counsel, and Corporate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00" w:before="23" w:after="120"/>
        <w:ind w:left="0" w:right="0" w:firstLine="720"/>
        <w:jc w:val="center"/>
        <w:rPr>
          <w:rFonts w:ascii="Times New Roman;serif" w:hAnsi="Times New Roman;serif"/>
          <w:b/>
          <w:color w:val="000000"/>
          <w:sz w:val="22"/>
        </w:rPr>
      </w:pPr>
      <w:r>
        <w:rPr>
          <w:rFonts w:ascii="Times New Roman;serif" w:hAnsi="Times New Roman;serif"/>
          <w:b/>
          <w:color w:val="000000"/>
          <w:sz w:val="22"/>
        </w:rPr>
        <w:t>Getty Images Reports Second Quarter 2026 Results</w:t>
      </w:r>
    </w:p>
    <w:p>
      <w:pPr>
        <w:pStyle w:val="TextBody"/>
        <w:bidi w:val="0"/>
        <w:spacing w:lineRule="auto" w:line="300" w:before="0" w:after="2"/>
        <w:ind w:left="0" w:right="0" w:hanging="450"/>
        <w:jc w:val="both"/>
        <w:rPr/>
      </w:pPr>
      <w:r>
        <w:rPr>
          <w:color w:val="000000"/>
        </w:rPr>
        <w:t>•</w:t>
      </w:r>
      <w:r>
        <w:rPr>
          <w:rFonts w:ascii="Times New Roman;serif" w:hAnsi="Times New Roman;serif"/>
          <w:b w:val="false"/>
          <w:color w:val="000000"/>
          <w:sz w:val="20"/>
        </w:rPr>
        <w:t>Annual Subscription Revenue Grew to 58.8% of Q2 Total Revenue</w:t>
      </w:r>
    </w:p>
    <w:p>
      <w:pPr>
        <w:pStyle w:val="TextBody"/>
        <w:bidi w:val="0"/>
        <w:spacing w:lineRule="auto" w:line="300" w:before="0" w:after="2"/>
        <w:ind w:left="0" w:right="0" w:hanging="450"/>
        <w:jc w:val="left"/>
        <w:rPr/>
      </w:pPr>
      <w:r>
        <w:rPr>
          <w:color w:val="000000"/>
        </w:rPr>
        <w:t>•</w:t>
      </w:r>
      <w:r>
        <w:rPr>
          <w:rFonts w:ascii="Times New Roman;serif" w:hAnsi="Times New Roman;serif"/>
          <w:b w:val="false"/>
          <w:color w:val="000000"/>
          <w:sz w:val="20"/>
        </w:rPr>
        <w:t>Enterprise Strength Through Getty Images Continues Despite Agency and iStock Headwinds</w:t>
      </w:r>
    </w:p>
    <w:p>
      <w:pPr>
        <w:pStyle w:val="TextBody"/>
        <w:bidi w:val="0"/>
        <w:spacing w:before="0" w:after="0"/>
        <w:jc w:val="left"/>
        <w:rPr/>
      </w:pPr>
      <w:r>
        <w:rPr/>
      </w:r>
    </w:p>
    <w:p>
      <w:pPr>
        <w:pStyle w:val="TextBody"/>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New York, NY, August 10, 2026 – Getty Images Holdings, Inc. (“Getty Images” or the “Company”) (NYSE: GETY), a preeminent global visual content creator and marketplace, today reported financial results for the second quarter ended June 30, 2026.</w:t>
      </w:r>
    </w:p>
    <w:p>
      <w:pPr>
        <w:pStyle w:val="TextBody"/>
        <w:bidi w:val="0"/>
        <w:spacing w:before="0" w:after="2"/>
        <w:jc w:val="both"/>
        <w:rPr/>
      </w:pPr>
      <w:r>
        <w:rPr/>
      </w:r>
    </w:p>
    <w:p>
      <w:pPr>
        <w:pStyle w:val="TextBody"/>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"Our second quarter results reflected continued pressure in Agency and iStock e-commerce, while the larger parts of our business serving enterprise customers continued to demonstrate resilience and growth," said Craig Peters, Chief Executive Officer of Getty Images. "We are focused on building on Getty Images' strengths; trusted content, deep customer relationships, unique coverage and an unparalleled archive as we work to optimize our capital structure and support long-term growth as a standalone company."</w:t>
      </w:r>
    </w:p>
    <w:p>
      <w:pPr>
        <w:pStyle w:val="TextBody"/>
        <w:bidi w:val="0"/>
        <w:spacing w:before="0" w:after="2"/>
        <w:jc w:val="both"/>
        <w:rPr/>
      </w:pPr>
      <w:r>
        <w:rPr/>
      </w:r>
    </w:p>
    <w:p>
      <w:pPr>
        <w:pStyle w:val="TextBody"/>
        <w:bidi w:val="0"/>
        <w:spacing w:lineRule="auto" w:line="276" w:before="0" w:after="120"/>
        <w:jc w:val="both"/>
        <w:rPr>
          <w:rFonts w:ascii="Times New Roman;serif" w:hAnsi="Times New Roman;serif"/>
          <w:b/>
          <w:color w:val="000000"/>
          <w:sz w:val="20"/>
        </w:rPr>
      </w:pPr>
      <w:r>
        <w:rPr>
          <w:rFonts w:ascii="Times New Roman;serif" w:hAnsi="Times New Roman;serif"/>
          <w:b/>
          <w:color w:val="000000"/>
          <w:sz w:val="20"/>
        </w:rPr>
        <w:t>Second Quarter 2026 Financial Summary:</w:t>
      </w:r>
    </w:p>
    <w:p>
      <w:pPr>
        <w:pStyle w:val="TextBody"/>
        <w:bidi w:val="0"/>
        <w:spacing w:lineRule="auto" w:line="300" w:before="0" w:after="2"/>
        <w:ind w:left="0" w:right="0" w:hanging="360"/>
        <w:jc w:val="both"/>
        <w:rPr/>
      </w:pPr>
      <w:r>
        <w:rPr>
          <w:color w:val="000000"/>
        </w:rPr>
        <w:t>•</w:t>
      </w:r>
      <w:r>
        <w:rPr>
          <w:rFonts w:ascii="Times New Roman;serif" w:hAnsi="Times New Roman;serif"/>
          <w:b w:val="false"/>
          <w:color w:val="000000"/>
          <w:sz w:val="20"/>
        </w:rPr>
        <w:t xml:space="preserve">Revenue of $229.1 million in Q2'26, a decrease of 2.5% year over year and 4.1% on a currency neutral basis. </w:t>
      </w:r>
    </w:p>
    <w:p>
      <w:pPr>
        <w:pStyle w:val="TextBody"/>
        <w:bidi w:val="0"/>
        <w:spacing w:lineRule="auto" w:line="268" w:before="0" w:after="2"/>
        <w:ind w:left="0" w:right="0" w:hanging="360"/>
        <w:jc w:val="both"/>
        <w:rPr/>
      </w:pPr>
      <w:r>
        <w:rPr>
          <w:color w:val="000000"/>
        </w:rPr>
        <w:t>•</w:t>
      </w:r>
      <w:r>
        <w:rPr>
          <w:rFonts w:ascii="Times New Roman;serif" w:hAnsi="Times New Roman;serif"/>
          <w:b w:val="false"/>
          <w:color w:val="000000"/>
          <w:sz w:val="20"/>
        </w:rPr>
        <w:t>Creative revenue of $127.4 million, down 2.6% year over year and 4.3% on a currency neutral basis.</w:t>
      </w:r>
    </w:p>
    <w:p>
      <w:pPr>
        <w:pStyle w:val="TextBody"/>
        <w:bidi w:val="0"/>
        <w:spacing w:lineRule="auto" w:line="268" w:before="0" w:after="2"/>
        <w:ind w:left="0" w:right="0" w:hanging="360"/>
        <w:jc w:val="both"/>
        <w:rPr/>
      </w:pPr>
      <w:r>
        <w:rPr>
          <w:color w:val="000000"/>
        </w:rPr>
        <w:t>•</w:t>
      </w:r>
      <w:r>
        <w:rPr>
          <w:rFonts w:ascii="Times New Roman;serif" w:hAnsi="Times New Roman;serif"/>
          <w:b w:val="false"/>
          <w:color w:val="000000"/>
          <w:sz w:val="20"/>
        </w:rPr>
        <w:t>Editorial revenue of $96.5 million, up 9.2% year over year and 7.6% on a currency neutral basis.</w:t>
      </w:r>
    </w:p>
    <w:p>
      <w:pPr>
        <w:pStyle w:val="TextBody"/>
        <w:bidi w:val="0"/>
        <w:spacing w:lineRule="auto" w:line="268" w:before="0" w:after="2"/>
        <w:ind w:left="0" w:right="0" w:hanging="360"/>
        <w:jc w:val="both"/>
        <w:rPr/>
      </w:pPr>
      <w:r>
        <w:rPr>
          <w:color w:val="000000"/>
        </w:rPr>
        <w:t>•</w:t>
      </w:r>
      <w:r>
        <w:rPr>
          <w:rFonts w:ascii="Times New Roman;serif" w:hAnsi="Times New Roman;serif"/>
          <w:b w:val="false"/>
          <w:color w:val="000000"/>
          <w:sz w:val="20"/>
        </w:rPr>
        <w:t xml:space="preserve">Other revenue of $5.2 million, down $10.5 million from $15.7 million in Q2’25. </w:t>
      </w:r>
    </w:p>
    <w:p>
      <w:pPr>
        <w:pStyle w:val="TextBody"/>
        <w:bidi w:val="0"/>
        <w:spacing w:lineRule="auto" w:line="268" w:before="0" w:after="2"/>
        <w:ind w:left="0" w:right="0" w:hanging="360"/>
        <w:jc w:val="both"/>
        <w:rPr/>
      </w:pPr>
      <w:r>
        <w:rPr>
          <w:color w:val="000000"/>
        </w:rPr>
        <w:t>•</w:t>
      </w:r>
      <w:r>
        <w:rPr>
          <w:rFonts w:ascii="Times New Roman;serif" w:hAnsi="Times New Roman;serif"/>
          <w:b w:val="false"/>
          <w:color w:val="000000"/>
          <w:sz w:val="20"/>
        </w:rPr>
        <w:t>Annual Subscription Revenue grew to 58.8% of total revenue, up from 53.5% in Q2’25.</w:t>
      </w:r>
    </w:p>
    <w:p>
      <w:pPr>
        <w:pStyle w:val="TextBody"/>
        <w:bidi w:val="0"/>
        <w:spacing w:lineRule="auto" w:line="300" w:before="0" w:after="2"/>
        <w:ind w:left="0" w:right="0" w:hanging="360"/>
        <w:jc w:val="both"/>
        <w:rPr/>
      </w:pPr>
      <w:r>
        <w:rPr>
          <w:color w:val="000000"/>
        </w:rPr>
        <w:t>•</w:t>
      </w:r>
      <w:r>
        <w:rPr>
          <w:rFonts w:ascii="Times New Roman;serif" w:hAnsi="Times New Roman;serif"/>
          <w:b w:val="false"/>
          <w:color w:val="000000"/>
          <w:sz w:val="20"/>
        </w:rPr>
        <w:t>Net loss of $85.8 million in Q2'26, compared to a Net loss of $34.4 million in Q2’25. Primary drivers of the year-on-year increase include:</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$96.7 million increase in tax expense primarily due to a change in valuation allowance, significantly larger book loss in the second quarter 2025, and non-deductible interest,</w:t>
      </w:r>
    </w:p>
    <w:p>
      <w:pPr>
        <w:pStyle w:val="TextBody"/>
        <w:bidi w:val="0"/>
        <w:spacing w:lineRule="auto" w:line="300" w:before="0" w:after="2"/>
        <w:ind w:left="0" w:right="0" w:hanging="360"/>
        <w:jc w:val="both"/>
        <w:rPr/>
      </w:pPr>
      <w:r>
        <w:rPr>
          <w:color w:val="000000"/>
        </w:rPr>
        <w:t>•</w:t>
      </w:r>
      <w:r>
        <w:rPr>
          <w:rFonts w:ascii="Times New Roman;serif" w:hAnsi="Times New Roman;serif"/>
          <w:b w:val="false"/>
          <w:color w:val="000000"/>
          <w:sz w:val="20"/>
        </w:rPr>
        <w:t>$61.0 million improvement in foreign exchange gain primarily due to revaluation of the Euro Term Loan,</w:t>
      </w:r>
    </w:p>
    <w:p>
      <w:pPr>
        <w:pStyle w:val="TextBody"/>
        <w:bidi w:val="0"/>
        <w:spacing w:lineRule="auto" w:line="300" w:before="0" w:after="2"/>
        <w:ind w:left="0" w:right="0" w:hanging="360"/>
        <w:jc w:val="both"/>
        <w:rPr/>
      </w:pPr>
      <w:r>
        <w:rPr>
          <w:color w:val="000000"/>
        </w:rPr>
        <w:t>•</w:t>
      </w:r>
      <w:r>
        <w:rPr>
          <w:rFonts w:ascii="Times New Roman;serif" w:hAnsi="Times New Roman;serif"/>
          <w:b w:val="false"/>
          <w:color w:val="000000"/>
          <w:sz w:val="20"/>
        </w:rPr>
        <w:t>$20.8 million increase in interest expense primarily due to the higher rates following the 2025 refinancing transactions and the incremental debt raised in 2025 in anticipation of the recently terminated merger,</w:t>
      </w:r>
    </w:p>
    <w:p>
      <w:pPr>
        <w:pStyle w:val="TextBody"/>
        <w:bidi w:val="0"/>
        <w:spacing w:lineRule="auto" w:line="300" w:before="0" w:after="2"/>
        <w:ind w:left="0" w:right="0" w:hanging="360"/>
        <w:jc w:val="both"/>
        <w:rPr/>
      </w:pPr>
      <w:r>
        <w:rPr>
          <w:color w:val="000000"/>
        </w:rPr>
        <w:t>•</w:t>
      </w:r>
      <w:r>
        <w:rPr>
          <w:rFonts w:ascii="Times New Roman;serif" w:hAnsi="Times New Roman;serif"/>
          <w:b w:val="false"/>
          <w:color w:val="000000"/>
          <w:sz w:val="20"/>
        </w:rPr>
        <w:t>$8.3 million increase in Other non-operating income driven by interest income earned on merger-related funds held in escrow, and</w:t>
      </w:r>
    </w:p>
    <w:p>
      <w:pPr>
        <w:pStyle w:val="TextBody"/>
        <w:bidi w:val="0"/>
        <w:spacing w:lineRule="auto" w:line="300" w:before="0" w:after="2"/>
        <w:ind w:left="0" w:right="0" w:hanging="360"/>
        <w:jc w:val="both"/>
        <w:rPr/>
      </w:pPr>
      <w:r>
        <w:rPr>
          <w:color w:val="000000"/>
        </w:rPr>
        <w:t>•</w:t>
      </w:r>
      <w:r>
        <w:rPr>
          <w:rFonts w:ascii="Times New Roman;serif" w:hAnsi="Times New Roman;serif"/>
          <w:b w:val="false"/>
          <w:color w:val="000000"/>
          <w:sz w:val="20"/>
        </w:rPr>
        <w:t>$3.2 million decrease in income from operations.</w:t>
      </w:r>
    </w:p>
    <w:p>
      <w:pPr>
        <w:pStyle w:val="TextBody"/>
        <w:bidi w:val="0"/>
        <w:spacing w:lineRule="auto" w:line="300" w:before="0" w:after="2"/>
        <w:ind w:left="0" w:right="0" w:hanging="360"/>
        <w:jc w:val="both"/>
        <w:rPr/>
      </w:pPr>
      <w:r>
        <w:rPr>
          <w:color w:val="000000"/>
        </w:rPr>
        <w:t>•</w:t>
      </w:r>
      <w:r>
        <w:rPr>
          <w:rFonts w:ascii="Times New Roman;serif" w:hAnsi="Times New Roman;serif"/>
          <w:b w:val="false"/>
          <w:color w:val="000000"/>
          <w:sz w:val="20"/>
        </w:rPr>
        <w:t xml:space="preserve">Net loss margin for Q2’26 was 37.4% compared to net loss margin of 14.6% in Q2’25. </w:t>
      </w:r>
    </w:p>
    <w:p>
      <w:pPr>
        <w:pStyle w:val="TextBody"/>
        <w:bidi w:val="0"/>
        <w:spacing w:lineRule="auto" w:line="300" w:before="0" w:after="2"/>
        <w:ind w:left="0" w:right="0" w:hanging="360"/>
        <w:jc w:val="both"/>
        <w:rPr/>
      </w:pPr>
      <w:r>
        <w:rPr>
          <w:color w:val="000000"/>
        </w:rPr>
        <w:t>•</w:t>
      </w:r>
      <w:r>
        <w:rPr>
          <w:rFonts w:ascii="Times New Roman;serif" w:hAnsi="Times New Roman;serif"/>
          <w:b w:val="false"/>
          <w:color w:val="000000"/>
          <w:sz w:val="20"/>
        </w:rPr>
        <w:t xml:space="preserve">On a non-GAAP basis, adjusted net loss* was $20.9 million in Q2'26, compared to $19.1 million adjusted net income* in the prior year period.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Adjusted EBITDA* was $62.3 million for Q2'26, down 8.4% year over year and 10.3% on a currency neutral basis, primarily reflecting lower revenue and higher cost of revenue, which more than offset the lower SGA expense. </w:t>
      </w:r>
    </w:p>
    <w:p>
      <w:pPr>
        <w:pStyle w:val="TextBody"/>
        <w:bidi w:val="0"/>
        <w:spacing w:lineRule="auto" w:line="300" w:before="0" w:after="2"/>
        <w:ind w:left="0" w:right="0" w:hanging="360"/>
        <w:jc w:val="both"/>
        <w:rPr/>
      </w:pPr>
      <w:r>
        <w:rPr>
          <w:color w:val="000000"/>
        </w:rPr>
        <w:t>•</w:t>
      </w:r>
      <w:r>
        <w:rPr>
          <w:rFonts w:ascii="Times New Roman;serif" w:hAnsi="Times New Roman;serif"/>
          <w:b w:val="false"/>
          <w:color w:val="000000"/>
          <w:sz w:val="20"/>
        </w:rPr>
        <w:t xml:space="preserve">Adjusted EBITDA margin* was 27.2% for Q2’26 compared to 28.9% in the prior year period. </w:t>
      </w:r>
    </w:p>
    <w:p>
      <w:pPr>
        <w:pStyle w:val="TextBody"/>
        <w:bidi w:val="0"/>
        <w:spacing w:lineRule="auto" w:line="300" w:before="0" w:after="2"/>
        <w:ind w:left="0" w:right="0" w:hanging="360"/>
        <w:jc w:val="both"/>
        <w:rPr/>
      </w:pPr>
      <w:r>
        <w:rPr>
          <w:color w:val="000000"/>
        </w:rPr>
        <w:t>•</w:t>
      </w:r>
      <w:r>
        <w:rPr>
          <w:rFonts w:ascii="Times New Roman;serif" w:hAnsi="Times New Roman;serif"/>
          <w:b w:val="false"/>
          <w:color w:val="000000"/>
          <w:sz w:val="20"/>
        </w:rPr>
        <w:t>Adjusted EBITDA less capex* was $48.4 million, down 6.6% year over year and 9.5% on a currency neutral basis.</w:t>
      </w:r>
    </w:p>
    <w:p>
      <w:pPr>
        <w:pStyle w:val="TextBody"/>
        <w:bidi w:val="0"/>
        <w:spacing w:before="0" w:after="283"/>
        <w:jc w:val="left"/>
        <w:rPr/>
      </w:pPr>
      <w:r>
        <w:rPr/>
      </w:r>
    </w:p>
    <w:p>
      <w:pPr>
        <w:pStyle w:val="TextBody"/>
        <w:bidi w:val="0"/>
        <w:spacing w:lineRule="auto" w:line="300" w:before="0" w:after="120"/>
        <w:jc w:val="left"/>
        <w:rPr>
          <w:rFonts w:ascii="Times New Roman;serif" w:hAnsi="Times New Roman;serif"/>
          <w:b/>
          <w:color w:val="000000"/>
          <w:sz w:val="20"/>
        </w:rPr>
      </w:pPr>
      <w:r>
        <w:rPr>
          <w:rFonts w:ascii="Times New Roman;serif" w:hAnsi="Times New Roman;serif"/>
          <w:b/>
          <w:color w:val="000000"/>
          <w:sz w:val="20"/>
        </w:rPr>
        <w:t>Liquidity and Balance Sheet:</w:t>
      </w:r>
    </w:p>
    <w:p>
      <w:pPr>
        <w:pStyle w:val="TextBody"/>
        <w:bidi w:val="0"/>
        <w:spacing w:lineRule="auto" w:line="300" w:before="23" w:after="283"/>
        <w:ind w:left="0" w:right="0" w:hanging="360"/>
        <w:jc w:val="both"/>
        <w:rPr/>
      </w:pPr>
      <w:r>
        <w:rPr>
          <w:color w:val="000000"/>
        </w:rPr>
        <w:t>•</w:t>
      </w:r>
      <w:r>
        <w:rPr>
          <w:rFonts w:ascii="Times New Roman;serif" w:hAnsi="Times New Roman;serif"/>
          <w:b w:val="false"/>
          <w:color w:val="000000"/>
          <w:sz w:val="20"/>
        </w:rPr>
        <w:t>Net cash used in operating activities was $108.7 million in Q2’26, compared to net cash provided by operating activities of $6.5 million in the prior year period.</w:t>
      </w:r>
    </w:p>
    <w:p>
      <w:pPr>
        <w:pStyle w:val="TextBody"/>
        <w:bidi w:val="0"/>
        <w:spacing w:lineRule="auto" w:line="300"/>
        <w:ind w:left="0" w:right="0" w:hanging="360"/>
        <w:jc w:val="both"/>
        <w:rPr/>
      </w:pPr>
      <w:r>
        <w:rPr>
          <w:color w:val="000000"/>
        </w:rPr>
        <w:t>•</w:t>
      </w:r>
      <w:r>
        <w:rPr>
          <w:rFonts w:ascii="Times New Roman;serif" w:hAnsi="Times New Roman;serif"/>
          <w:b w:val="false"/>
          <w:color w:val="000000"/>
          <w:sz w:val="20"/>
        </w:rPr>
        <w:t>Free cash flow</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was $(122.6) million in Q2’26, compared to $(9.6) million in the prior year period, with the decline primarily driven by payments totaling $110.9 million related to the Alta and CRCM warrant litigation judgment and associated interest, a $62.9 million increase in cash interest paid, including $37.4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00" w:before="0" w:after="0"/>
        <w:jc w:val="both"/>
        <w:rPr>
          <w:rFonts w:ascii="Times New Roman;serif" w:hAnsi="Times New Roman;serif"/>
          <w:b w:val="false"/>
          <w:color w:val="000000"/>
          <w:sz w:val="20"/>
        </w:rPr>
      </w:pPr>
      <w:r>
        <w:rPr>
          <w:rFonts w:ascii="Times New Roman;serif" w:hAnsi="Times New Roman;serif"/>
          <w:b w:val="false"/>
          <w:color w:val="000000"/>
          <w:sz w:val="20"/>
        </w:rPr>
        <w:t>million of interest on the 10.5% Senior Secured Notes tied to the financing of the proposed merger with Shutterstock, partially offset by $31.5 million of insurance proceeds related to the warrant litigation.</w:t>
      </w:r>
    </w:p>
    <w:p>
      <w:pPr>
        <w:pStyle w:val="TextBody"/>
        <w:bidi w:val="0"/>
        <w:spacing w:lineRule="auto" w:line="300" w:before="23" w:after="283"/>
        <w:ind w:left="0" w:right="0" w:hanging="360"/>
        <w:jc w:val="both"/>
        <w:rPr/>
      </w:pPr>
      <w:r>
        <w:rPr>
          <w:color w:val="000000"/>
        </w:rPr>
        <w:t>•</w:t>
      </w:r>
      <w:r>
        <w:rPr>
          <w:rFonts w:ascii="Times New Roman;serif" w:hAnsi="Times New Roman;serif"/>
          <w:b w:val="false"/>
          <w:color w:val="000000"/>
          <w:sz w:val="20"/>
        </w:rPr>
        <w:t>Ending cash balance was $51.6 million as of June 30, 2026, down $38.6 million from December 31, 2025 and down $58.7 million from June 30, 2025. The Company had $30.0 million at quarter end available through its revolving credit facility, for total available liquidity of $81.6 million. In July 2026, the Company drew the remaining $30.0 million available under the facility.</w:t>
      </w:r>
    </w:p>
    <w:p>
      <w:pPr>
        <w:pStyle w:val="TextBody"/>
        <w:bidi w:val="0"/>
        <w:spacing w:lineRule="auto" w:line="300" w:before="23" w:after="283"/>
        <w:ind w:left="0" w:right="0" w:hanging="360"/>
        <w:jc w:val="both"/>
        <w:rPr/>
      </w:pPr>
      <w:r>
        <w:rPr>
          <w:color w:val="000000"/>
        </w:rPr>
        <w:t>•</w:t>
      </w:r>
      <w:r>
        <w:rPr>
          <w:rFonts w:ascii="Times New Roman;serif" w:hAnsi="Times New Roman;serif"/>
          <w:b w:val="false"/>
          <w:color w:val="000000"/>
          <w:sz w:val="20"/>
        </w:rPr>
        <w:t>Total debt was $2.1 billion as of June 30, 2026, which included $1.2 billion</w:t>
      </w:r>
      <w:r>
        <w:rPr>
          <w:color w:val="000000"/>
        </w:rPr>
        <w:t xml:space="preserve"> </w:t>
      </w:r>
      <w:r>
        <w:rPr>
          <w:rFonts w:ascii="Times New Roman;serif" w:hAnsi="Times New Roman;serif"/>
          <w:b w:val="false"/>
          <w:color w:val="000000"/>
          <w:sz w:val="20"/>
        </w:rPr>
        <w:t xml:space="preserve">in Senior Secured Notes; Term Loan balance of $510.6 million, consisting of $40.1 million in USD and $470.5 million in USD equivalent of Euros, converted using exchange rates as of June 30, 2026; $270.0 million of Senior Unsecured Notes; and $120.0 million borrowed on April 23, 2026 under the revolving credit facility in part to pay the judgment and associated interest related to the Alta and CRCM warrant litigation. </w:t>
      </w:r>
    </w:p>
    <w:p>
      <w:pPr>
        <w:pStyle w:val="TextBody"/>
        <w:bidi w:val="0"/>
        <w:spacing w:lineRule="auto" w:line="300" w:before="23" w:after="283"/>
        <w:ind w:left="0" w:right="0" w:hanging="360"/>
        <w:jc w:val="both"/>
        <w:rPr/>
      </w:pPr>
      <w:r>
        <w:rPr>
          <w:color w:val="000000"/>
        </w:rPr>
        <w:t>•</w:t>
      </w:r>
      <w:r>
        <w:rPr>
          <w:rFonts w:ascii="Times New Roman;serif" w:hAnsi="Times New Roman;serif"/>
          <w:b w:val="false"/>
          <w:color w:val="000000"/>
          <w:sz w:val="20"/>
        </w:rPr>
        <w:t>Following termination of the Merger Agreement in July 2026, the $628.4 million of 10.5% Senior Secured Notes were redeemed at par in accordance with a special mandatory redemption pursuant to the indenture, with the redemption funded by amounts released from escrow.</w:t>
      </w:r>
    </w:p>
    <w:p>
      <w:pPr>
        <w:pStyle w:val="TextBody"/>
        <w:bidi w:val="0"/>
        <w:spacing w:lineRule="auto" w:line="300" w:before="23" w:after="283"/>
        <w:ind w:left="0" w:right="0" w:hanging="360"/>
        <w:jc w:val="both"/>
        <w:rPr/>
      </w:pPr>
      <w:r>
        <w:rPr>
          <w:color w:val="000000"/>
        </w:rPr>
        <w:t>•</w:t>
      </w:r>
      <w:r>
        <w:rPr>
          <w:rFonts w:ascii="Times New Roman;serif" w:hAnsi="Times New Roman;serif"/>
          <w:b w:val="false"/>
          <w:color w:val="000000"/>
          <w:sz w:val="20"/>
        </w:rPr>
        <w:t>As of June 30, 2026 the Company had $2.2 million of insurance recovery receivable related to the warrant litigation, representing receivables from third</w:t>
        <w:noBreakHyphen/>
        <w:t xml:space="preserve">party insurance carriers for these legal claims. </w:t>
      </w:r>
    </w:p>
    <w:p>
      <w:pPr>
        <w:pStyle w:val="TextBody"/>
        <w:bidi w:val="0"/>
        <w:spacing w:before="23" w:after="283"/>
        <w:jc w:val="both"/>
        <w:rPr/>
      </w:pPr>
      <w:r>
        <w:rPr/>
      </w:r>
    </w:p>
    <w:p>
      <w:pPr>
        <w:pStyle w:val="TextBody"/>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Management is actively assessing plans intended to improve liquidity, and as previously disclosed, has engaged Guggenheim Securities, LLC to serve as financial advisor in connection with the Company’s evaluation of strategic financing alternatives and balance sheet management initiatives.</w:t>
      </w:r>
    </w:p>
    <w:p>
      <w:pPr>
        <w:pStyle w:val="TextBody"/>
        <w:bidi w:val="0"/>
        <w:spacing w:before="23" w:after="283"/>
        <w:jc w:val="both"/>
        <w:rPr/>
      </w:pPr>
      <w:r>
        <w:rPr/>
      </w:r>
    </w:p>
    <w:p>
      <w:pPr>
        <w:pStyle w:val="TextBody"/>
        <w:bidi w:val="0"/>
        <w:spacing w:lineRule="auto" w:line="268" w:before="0" w:after="2"/>
        <w:jc w:val="both"/>
        <w:rPr>
          <w:rFonts w:ascii="Times New Roman;serif" w:hAnsi="Times New Roman;serif"/>
          <w:b w:val="false"/>
          <w:color w:val="000000"/>
          <w:sz w:val="16"/>
        </w:rPr>
      </w:pPr>
      <w:r>
        <w:rPr>
          <w:rFonts w:ascii="Times New Roman;serif" w:hAnsi="Times New Roman;serif"/>
          <w:b w:val="false"/>
          <w:color w:val="000000"/>
          <w:sz w:val="16"/>
        </w:rPr>
        <w:t>* Non-GAAP net income (loss), adjusted EBITDA, adjusted EBITDA margin, adjusted EBITDA less capex, and free cash flow are non-GAAP financial measures. Refer to the "Non-GAAP Financial Measures" section below for reconciliations of these non-GAAP financial measures to the most directly comparable GAAP measures.</w:t>
      </w:r>
    </w:p>
    <w:p>
      <w:pPr>
        <w:pStyle w:val="TextBody"/>
        <w:bidi w:val="0"/>
        <w:spacing w:before="0" w:after="2"/>
        <w:jc w:val="both"/>
        <w:rPr/>
      </w:pPr>
      <w:r>
        <w:rPr/>
      </w:r>
    </w:p>
    <w:p>
      <w:pPr>
        <w:pStyle w:val="TextBody"/>
        <w:bidi w:val="0"/>
        <w:spacing w:before="0" w:after="2"/>
        <w:jc w:val="both"/>
        <w:rPr/>
      </w:pPr>
      <w:r>
        <w:rPr/>
      </w:r>
    </w:p>
    <w:p>
      <w:pPr>
        <w:pStyle w:val="TextBody"/>
        <w:bidi w:val="0"/>
        <w:spacing w:lineRule="auto" w:line="300" w:before="0" w:after="0"/>
        <w:jc w:val="both"/>
        <w:rPr>
          <w:rFonts w:ascii="Times New Roman;serif" w:hAnsi="Times New Roman;serif"/>
          <w:b/>
          <w:color w:val="2F5496"/>
          <w:sz w:val="20"/>
        </w:rPr>
      </w:pPr>
      <w:r>
        <w:rPr>
          <w:rFonts w:ascii="Times New Roman;serif" w:hAnsi="Times New Roman;serif"/>
          <w:b/>
          <w:color w:val="2F5496"/>
          <w:sz w:val="20"/>
        </w:rPr>
        <w:t>Key Performance Indicators (KPIs)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KPIs outlined below are the metrics that provide management with the most immediate understanding of the drivers of business performance and our ability to deliver shareholder return, track to financial targets and prioritize customer satisfaction. </w:t>
      </w:r>
    </w:p>
    <w:p>
      <w:pPr>
        <w:pStyle w:val="TextBody"/>
        <w:bidi w:val="0"/>
        <w:spacing w:before="0" w:after="2"/>
        <w:jc w:val="left"/>
        <w:rPr/>
      </w:pPr>
      <w:r>
        <w:rPr/>
      </w:r>
    </w:p>
    <w:tbl>
      <w:tblPr>
        <w:tblW w:w="8958" w:type="dxa"/>
        <w:jc w:val="left"/>
        <w:tblInd w:w="0" w:type="dxa"/>
        <w:tblLayout w:type="fixed"/>
        <w:tblCellMar>
          <w:top w:w="28" w:type="dxa"/>
          <w:left w:w="28" w:type="dxa"/>
          <w:bottom w:w="28" w:type="dxa"/>
          <w:right w:w="28" w:type="dxa"/>
        </w:tblCellMar>
      </w:tblPr>
      <w:tblGrid>
        <w:gridCol w:w="1546"/>
        <w:gridCol w:w="1360"/>
        <w:gridCol w:w="1368"/>
        <w:gridCol w:w="292"/>
        <w:gridCol w:w="219"/>
        <w:gridCol w:w="399"/>
        <w:gridCol w:w="160"/>
        <w:gridCol w:w="160"/>
        <w:gridCol w:w="160"/>
        <w:gridCol w:w="292"/>
        <w:gridCol w:w="219"/>
        <w:gridCol w:w="399"/>
        <w:gridCol w:w="160"/>
        <w:gridCol w:w="160"/>
        <w:gridCol w:w="160"/>
        <w:gridCol w:w="387"/>
        <w:gridCol w:w="387"/>
        <w:gridCol w:w="1130"/>
      </w:tblGrid>
      <w:tr>
        <w:trPr/>
        <w:tc>
          <w:tcPr>
            <w:tcW w:w="1546"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Last Twelve Months Ended June 30,</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Increase / (Decrease)</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color w:val="000000"/>
                <w:sz w:val="20"/>
              </w:rPr>
              <w:t>LTM total purchasing customers (thousands)</w:t>
            </w:r>
            <w:r>
              <w:rPr>
                <w:rFonts w:ascii="Times New Roman;serif" w:hAnsi="Times New Roman;serif"/>
                <w:b/>
                <w:color w:val="000000"/>
                <w:sz w:val="13"/>
              </w:rPr>
              <w:t>1</w:t>
            </w:r>
          </w:p>
        </w:tc>
        <w:tc>
          <w:tcPr>
            <w:tcW w:w="9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636</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707</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color w:val="000000"/>
                <w:sz w:val="20"/>
              </w:rPr>
              <w:t>LTM total active annual subscribers (thousands)</w:t>
            </w:r>
            <w:r>
              <w:rPr>
                <w:rFonts w:ascii="Times New Roman;serif" w:hAnsi="Times New Roman;serif"/>
                <w:b/>
                <w:color w:val="000000"/>
                <w:sz w:val="13"/>
              </w:rPr>
              <w:t>2</w:t>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13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color w:val="000000"/>
                <w:sz w:val="20"/>
              </w:rPr>
              <w:t>LTM paid download volume (millions)</w:t>
            </w:r>
            <w:r>
              <w:rPr>
                <w:rFonts w:ascii="Times New Roman;serif" w:hAnsi="Times New Roman;serif"/>
                <w:b/>
                <w:color w:val="000000"/>
                <w:sz w:val="13"/>
              </w:rPr>
              <w:t>3</w:t>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13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color w:val="000000"/>
                <w:sz w:val="20"/>
              </w:rPr>
              <w:t>LTM annual subscriber revenue retention rate</w:t>
            </w:r>
            <w:r>
              <w:rPr>
                <w:rFonts w:ascii="Times New Roman;serif" w:hAnsi="Times New Roman;serif"/>
                <w:b/>
                <w:color w:val="000000"/>
                <w:sz w:val="13"/>
              </w:rPr>
              <w:t>4</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39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39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-500 bps</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color w:val="000000"/>
                <w:sz w:val="20"/>
              </w:rPr>
              <w:t>Image collection (millions)</w:t>
            </w:r>
            <w:r>
              <w:rPr>
                <w:rFonts w:ascii="Times New Roman;serif" w:hAnsi="Times New Roman;serif"/>
                <w:b/>
                <w:color w:val="000000"/>
                <w:sz w:val="13"/>
              </w:rPr>
              <w:t>5</w:t>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625</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13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color w:val="000000"/>
                <w:sz w:val="20"/>
              </w:rPr>
              <w:t xml:space="preserve">Video collection (millions) </w:t>
            </w:r>
            <w:r>
              <w:rPr>
                <w:rFonts w:ascii="Times New Roman;serif" w:hAnsi="Times New Roman;serif"/>
                <w:b/>
                <w:color w:val="000000"/>
                <w:sz w:val="13"/>
              </w:rPr>
              <w:t>5</w:t>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13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color w:val="000000"/>
                <w:sz w:val="20"/>
              </w:rPr>
              <w:t>LTM video attachment rate</w:t>
            </w:r>
            <w:r>
              <w:rPr>
                <w:rFonts w:ascii="Times New Roman;serif" w:hAnsi="Times New Roman;serif"/>
                <w:b/>
                <w:color w:val="000000"/>
                <w:sz w:val="13"/>
              </w:rPr>
              <w:t>6</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39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39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-150 bps</w:t>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774" w:type="dxa"/>
            <w:gridSpan w:val="12"/>
            <w:tcBorders/>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Annual subscription - includes products and subscriptions with a duration of 12 months or longer, Unsplash API, and Custom Content.</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i/>
          <w:color w:val="000000"/>
          <w:sz w:val="13"/>
        </w:rPr>
        <w:t>1</w:t>
      </w:r>
      <w:r>
        <w:rPr>
          <w:color w:val="000000"/>
        </w:rPr>
        <w:t xml:space="preserve"> </w:t>
      </w:r>
      <w:r>
        <w:rPr>
          <w:rFonts w:ascii="Times New Roman;serif" w:hAnsi="Times New Roman;serif"/>
          <w:b w:val="false"/>
          <w:i/>
          <w:color w:val="000000"/>
          <w:sz w:val="18"/>
        </w:rPr>
        <w:t xml:space="preserve">The count of total customers who made a purchase within the reporting period based on billed revenue. </w:t>
      </w:r>
    </w:p>
    <w:p>
      <w:pPr>
        <w:pStyle w:val="TextBody"/>
        <w:bidi w:val="0"/>
        <w:spacing w:lineRule="auto" w:line="268" w:before="0" w:after="0"/>
        <w:jc w:val="both"/>
        <w:rPr/>
      </w:pPr>
      <w:r>
        <w:rPr>
          <w:rFonts w:ascii="Times New Roman;serif" w:hAnsi="Times New Roman;serif"/>
          <w:b w:val="false"/>
          <w:i/>
          <w:color w:val="000000"/>
          <w:sz w:val="13"/>
        </w:rPr>
        <w:t>2</w:t>
      </w:r>
      <w:r>
        <w:rPr>
          <w:color w:val="000000"/>
        </w:rPr>
        <w:t xml:space="preserve"> </w:t>
      </w:r>
      <w:r>
        <w:rPr>
          <w:rFonts w:ascii="Times New Roman;serif" w:hAnsi="Times New Roman;serif"/>
          <w:b w:val="false"/>
          <w:i/>
          <w:color w:val="000000"/>
          <w:sz w:val="18"/>
        </w:rPr>
        <w:t xml:space="preserve">The count of customers who were on an annual subscription product during the reporting period. </w:t>
      </w:r>
    </w:p>
    <w:p>
      <w:pPr>
        <w:pStyle w:val="TextBody"/>
        <w:bidi w:val="0"/>
        <w:spacing w:lineRule="auto" w:line="268" w:before="0" w:after="0"/>
        <w:jc w:val="both"/>
        <w:rPr/>
      </w:pPr>
      <w:r>
        <w:rPr>
          <w:rFonts w:ascii="Times New Roman;serif" w:hAnsi="Times New Roman;serif"/>
          <w:b w:val="false"/>
          <w:i/>
          <w:color w:val="000000"/>
          <w:sz w:val="13"/>
        </w:rPr>
        <w:t>3</w:t>
      </w:r>
      <w:r>
        <w:rPr>
          <w:color w:val="000000"/>
        </w:rPr>
        <w:t xml:space="preserve"> </w:t>
      </w:r>
      <w:r>
        <w:rPr>
          <w:rFonts w:ascii="Times New Roman;serif" w:hAnsi="Times New Roman;serif"/>
          <w:b w:val="false"/>
          <w:i/>
          <w:color w:val="000000"/>
          <w:sz w:val="18"/>
        </w:rPr>
        <w:t>A count of the number of paid downloads by our customers in the reporting period.. Excludes downloads from Editorial Subscriptions, Editorial feeds and certain API structured deals, including bulk unlimited deals. Excludes downloads related to an agreement signed with Amazon, as the magnitude of the potential download volume over the deal term could result in significant fluctuations in this metric without corresponding impact to revenue in the same period.</w:t>
      </w:r>
    </w:p>
    <w:p>
      <w:pPr>
        <w:pStyle w:val="TextBody"/>
        <w:bidi w:val="0"/>
        <w:spacing w:lineRule="auto" w:line="268" w:before="0" w:after="0"/>
        <w:jc w:val="both"/>
        <w:rPr/>
      </w:pPr>
      <w:r>
        <w:rPr>
          <w:rFonts w:ascii="Times New Roman;serif" w:hAnsi="Times New Roman;serif"/>
          <w:b w:val="false"/>
          <w:i/>
          <w:color w:val="000000"/>
          <w:sz w:val="13"/>
        </w:rPr>
        <w:t>4</w:t>
      </w:r>
      <w:r>
        <w:rPr>
          <w:color w:val="000000"/>
        </w:rPr>
        <w:t xml:space="preserve"> </w:t>
      </w:r>
      <w:r>
        <w:rPr>
          <w:rFonts w:ascii="Times New Roman;serif" w:hAnsi="Times New Roman;serif"/>
          <w:b w:val="false"/>
          <w:i/>
          <w:color w:val="000000"/>
          <w:sz w:val="18"/>
        </w:rPr>
        <w:t>This calculates retention of total revenue for customers on an annual subscription product, comparing the customer’s total billed revenue (inclusive of both annual subscription and non-annual subscription products) in the LTM period to the prior LTM period.</w:t>
      </w:r>
    </w:p>
    <w:p>
      <w:pPr>
        <w:pStyle w:val="TextBody"/>
        <w:bidi w:val="0"/>
        <w:spacing w:lineRule="auto" w:line="268"/>
        <w:jc w:val="both"/>
        <w:rPr/>
      </w:pPr>
      <w:r>
        <w:rPr>
          <w:rFonts w:ascii="Times New Roman;serif" w:hAnsi="Times New Roman;serif"/>
          <w:b w:val="false"/>
          <w:i/>
          <w:color w:val="000000"/>
          <w:sz w:val="13"/>
        </w:rPr>
        <w:t>5</w:t>
      </w:r>
      <w:r>
        <w:rPr>
          <w:color w:val="000000"/>
        </w:rPr>
        <w:t xml:space="preserve"> </w:t>
      </w:r>
      <w:r>
        <w:rPr>
          <w:rFonts w:ascii="Times New Roman;serif" w:hAnsi="Times New Roman;serif"/>
          <w:b w:val="false"/>
          <w:i/>
          <w:color w:val="000000"/>
          <w:sz w:val="18"/>
        </w:rPr>
        <w:t>A count of the total images and videos in our content library as of the reporting date.</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i/>
          <w:color w:val="000000"/>
          <w:sz w:val="13"/>
        </w:rPr>
        <w:t>6</w:t>
      </w:r>
      <w:r>
        <w:rPr>
          <w:color w:val="000000"/>
        </w:rPr>
        <w:t xml:space="preserve"> </w:t>
      </w:r>
      <w:r>
        <w:rPr>
          <w:rFonts w:ascii="Times New Roman;serif" w:hAnsi="Times New Roman;serif"/>
          <w:b w:val="false"/>
          <w:i/>
          <w:color w:val="000000"/>
          <w:sz w:val="18"/>
        </w:rPr>
        <w:t xml:space="preserve">A measure of the percentage of total paid customer downloaders who are video downloaders. </w:t>
      </w:r>
    </w:p>
    <w:p>
      <w:pPr>
        <w:pStyle w:val="TextBody"/>
        <w:bidi w:val="0"/>
        <w:spacing w:before="0" w:after="0"/>
        <w:jc w:val="both"/>
        <w:rPr/>
      </w:pPr>
      <w:r>
        <w:rPr/>
      </w:r>
    </w:p>
    <w:p>
      <w:pPr>
        <w:pStyle w:val="TextBody"/>
        <w:bidi w:val="0"/>
        <w:spacing w:lineRule="auto" w:line="276" w:before="0" w:after="160"/>
        <w:jc w:val="both"/>
        <w:rPr>
          <w:rFonts w:ascii="Times New Roman;serif" w:hAnsi="Times New Roman;serif"/>
          <w:b/>
          <w:color w:val="000000"/>
          <w:sz w:val="20"/>
        </w:rPr>
      </w:pPr>
      <w:r>
        <w:rPr>
          <w:rFonts w:ascii="Times New Roman;serif" w:hAnsi="Times New Roman;serif"/>
          <w:b/>
          <w:color w:val="000000"/>
          <w:sz w:val="20"/>
        </w:rPr>
        <w:t>Financial Outlook</w:t>
      </w:r>
    </w:p>
    <w:p>
      <w:pPr>
        <w:pStyle w:val="TextBody"/>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Given the potential impact of the Company’s evaluation of strategic financing alternatives and balance sheet management initiatives related to the Company's capital structure, liquidity position, and financial outlook, the Company has determined it is not appropriate to provide financial guidance at this time.</w:t>
      </w:r>
    </w:p>
    <w:p>
      <w:pPr>
        <w:pStyle w:val="TextBody"/>
        <w:bidi w:val="0"/>
        <w:spacing w:before="0" w:after="2"/>
        <w:jc w:val="both"/>
        <w:rPr/>
      </w:pPr>
      <w:r>
        <w:rPr/>
      </w:r>
    </w:p>
    <w:p>
      <w:pPr>
        <w:pStyle w:val="TextBody"/>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 xml:space="preserve">The withdrawal of guidance is attributable solely to the ongoing evaluation of strategic financing alternatives and should not be interpreted as a change in the Company's commitment to executing its business plan. </w:t>
      </w:r>
    </w:p>
    <w:p>
      <w:pPr>
        <w:pStyle w:val="TextBody"/>
        <w:bidi w:val="0"/>
        <w:spacing w:before="0" w:after="2"/>
        <w:jc w:val="both"/>
        <w:rPr/>
      </w:pPr>
      <w:r>
        <w:rPr/>
      </w:r>
    </w:p>
    <w:p>
      <w:pPr>
        <w:pStyle w:val="TextBody"/>
        <w:bidi w:val="0"/>
        <w:spacing w:lineRule="auto" w:line="276" w:before="0" w:after="160"/>
        <w:jc w:val="both"/>
        <w:rPr>
          <w:rFonts w:ascii="Times New Roman;serif" w:hAnsi="Times New Roman;serif"/>
          <w:b/>
          <w:color w:val="000000"/>
          <w:sz w:val="20"/>
        </w:rPr>
      </w:pPr>
      <w:r>
        <w:rPr>
          <w:rFonts w:ascii="Times New Roman;serif" w:hAnsi="Times New Roman;serif"/>
          <w:b/>
          <w:color w:val="000000"/>
          <w:sz w:val="20"/>
        </w:rPr>
        <w:t>Previously Announced Merger Agreement with Shutterstock</w:t>
      </w:r>
    </w:p>
    <w:p>
      <w:pPr>
        <w:pStyle w:val="TextBody"/>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As previously disclosed, on June 30, 2026, the Board of Directors of Getty Images unanimously resolved (a) not to proceed with the process to sell Shutterstock’s editorial business under the supervision of the CMA, which was a condition to the CMA’s required clearance of the transactions that Getty Images was not required to accept under the terms of the Merger Agreement and (b) to terminate the Merger Agreement following the passage of the Second Extended End Date (as defined in the Merger Agreement) on July 6, 2026. On July 7, 2026, Getty Images delivered a written notice to Shutterstock terminating the Merger Agreement pursuant to the terms thereof, effective upon delivery of such notice.</w:t>
      </w:r>
    </w:p>
    <w:p>
      <w:pPr>
        <w:pStyle w:val="TextBody"/>
        <w:bidi w:val="0"/>
        <w:spacing w:before="0" w:after="2"/>
        <w:jc w:val="both"/>
        <w:rPr/>
      </w:pPr>
      <w:r>
        <w:rPr/>
      </w:r>
    </w:p>
    <w:p>
      <w:pPr>
        <w:pStyle w:val="TextBody"/>
        <w:bidi w:val="0"/>
        <w:spacing w:lineRule="auto" w:line="276" w:before="0" w:after="283"/>
        <w:jc w:val="both"/>
        <w:rPr>
          <w:rFonts w:ascii="Times New Roman;serif" w:hAnsi="Times New Roman;serif"/>
          <w:b/>
          <w:color w:val="2F5496"/>
          <w:sz w:val="20"/>
        </w:rPr>
      </w:pPr>
      <w:r>
        <w:rPr>
          <w:rFonts w:ascii="Times New Roman;serif" w:hAnsi="Times New Roman;serif"/>
          <w:b/>
          <w:color w:val="2F5496"/>
          <w:sz w:val="20"/>
        </w:rPr>
        <w:t>Webcast &amp; Conference Call Information</w:t>
      </w:r>
    </w:p>
    <w:p>
      <w:pPr>
        <w:pStyle w:val="TextBody"/>
        <w:bidi w:val="0"/>
        <w:spacing w:lineRule="auto" w:line="288" w:before="0" w:after="0"/>
        <w:jc w:val="both"/>
        <w:rPr/>
      </w:pPr>
      <w:r>
        <w:rPr>
          <w:rFonts w:ascii="Times New Roman;serif" w:hAnsi="Times New Roman;serif"/>
          <w:b w:val="false"/>
          <w:color w:val="000000"/>
          <w:sz w:val="20"/>
        </w:rPr>
        <w:t xml:space="preserve">The Company will host a conference call at 4:30 p.m. Eastern Time today, Monday, August 10, 2026. The call will consist of prepared remarks only. The webcast will be accessible through the Investor Relations section of the Company’s website at </w:t>
      </w:r>
      <w:r>
        <w:rPr>
          <w:rFonts w:ascii="Times New Roman;serif" w:hAnsi="Times New Roman;serif"/>
          <w:b w:val="false"/>
          <w:color w:val="0000FF"/>
          <w:sz w:val="20"/>
        </w:rPr>
        <w:t>https://investors.gettyimages.com/</w:t>
      </w:r>
      <w:r>
        <w:rPr>
          <w:rFonts w:ascii="Times New Roman;serif" w:hAnsi="Times New Roman;serif"/>
          <w:b w:val="false"/>
          <w:color w:val="000000"/>
          <w:sz w:val="20"/>
        </w:rPr>
        <w:t>. To access the call through a conference line, dial 1-833-309-3473 (in the U.S.) or 1-785-838-9251 (international callers). The conference ID for the call is GETTY. A replay of the conference call will be posted shortly after the call and will be available for fourteen days following the call. To access the replay, dial 1-844-512-2921 (in the U.S.) or 1-412-317-6671 (international callers). The access code for the replay is 11162213.</w:t>
      </w:r>
    </w:p>
    <w:p>
      <w:pPr>
        <w:pStyle w:val="TextBody"/>
        <w:bidi w:val="0"/>
        <w:spacing w:before="0" w:after="2"/>
        <w:jc w:val="both"/>
        <w:rPr/>
      </w:pPr>
      <w:r>
        <w:rPr/>
      </w:r>
    </w:p>
    <w:p>
      <w:pPr>
        <w:pStyle w:val="TextBody"/>
        <w:bidi w:val="0"/>
        <w:spacing w:lineRule="auto" w:line="300" w:before="0" w:after="283"/>
        <w:jc w:val="left"/>
        <w:rPr>
          <w:rFonts w:ascii="Times New Roman;serif" w:hAnsi="Times New Roman;serif"/>
          <w:b/>
          <w:color w:val="2F5496"/>
          <w:sz w:val="20"/>
        </w:rPr>
      </w:pPr>
      <w:r>
        <w:rPr>
          <w:rFonts w:ascii="Times New Roman;serif" w:hAnsi="Times New Roman;serif"/>
          <w:b/>
          <w:color w:val="2F5496"/>
          <w:sz w:val="20"/>
        </w:rPr>
        <w:t>About Getty Images</w:t>
      </w:r>
    </w:p>
    <w:p>
      <w:pPr>
        <w:pStyle w:val="TextBody"/>
        <w:bidi w:val="0"/>
        <w:spacing w:lineRule="auto" w:line="288" w:before="0" w:after="0"/>
        <w:jc w:val="both"/>
        <w:rPr/>
      </w:pPr>
      <w:r>
        <w:rPr>
          <w:rFonts w:ascii="Times New Roman;serif" w:hAnsi="Times New Roman;serif"/>
          <w:b w:val="false"/>
          <w:color w:val="000000"/>
          <w:sz w:val="20"/>
        </w:rPr>
        <w:t xml:space="preserve">Getty Images (NYSE: GETY) is a preeminent global visual content creator and marketplace that offers a full range of content solutions to meet the needs of any customer around the globe, no matter their size. Through its </w:t>
      </w:r>
      <w:r>
        <w:rPr>
          <w:rFonts w:ascii="Times New Roman;serif" w:hAnsi="Times New Roman;serif"/>
          <w:b w:val="false"/>
          <w:color w:val="0000FF"/>
          <w:sz w:val="20"/>
        </w:rPr>
        <w:t>Getty Images</w:t>
      </w:r>
      <w:r>
        <w:rPr>
          <w:rFonts w:ascii="Times New Roman;serif" w:hAnsi="Times New Roman;serif"/>
          <w:b w:val="false"/>
          <w:color w:val="000000"/>
          <w:sz w:val="20"/>
        </w:rPr>
        <w:t xml:space="preserve">, </w:t>
      </w:r>
      <w:r>
        <w:rPr>
          <w:rFonts w:ascii="Times New Roman;serif" w:hAnsi="Times New Roman;serif"/>
          <w:b w:val="false"/>
          <w:color w:val="0000FF"/>
          <w:sz w:val="20"/>
        </w:rPr>
        <w:t>iStock</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FF"/>
          <w:sz w:val="20"/>
        </w:rPr>
        <w:t>Unsplash</w:t>
      </w:r>
      <w:r>
        <w:rPr>
          <w:color w:val="000000"/>
        </w:rPr>
        <w:t xml:space="preserve"> </w:t>
      </w:r>
      <w:r>
        <w:rPr>
          <w:rFonts w:ascii="Times New Roman;serif" w:hAnsi="Times New Roman;serif"/>
          <w:b w:val="false"/>
          <w:color w:val="000000"/>
          <w:sz w:val="20"/>
        </w:rPr>
        <w:t xml:space="preserve">brands, websites and APIs, Getty Images serves customers in almost every country in the world and is the first-place people turn to discover, purchase and share powerful visual content from the world’s best photographers and videographers. Getty Images works with over 600,000 content creators and over 360 content partners to deliver this powerful and comprehensive content. Each year Getty Images covers more than 160,000 </w:t>
      </w:r>
      <w:r>
        <w:rPr>
          <w:rFonts w:ascii="Times New Roman;serif" w:hAnsi="Times New Roman;serif"/>
          <w:b w:val="false"/>
          <w:color w:val="0000FF"/>
          <w:sz w:val="20"/>
        </w:rPr>
        <w:t>news</w:t>
      </w:r>
      <w:r>
        <w:rPr>
          <w:rFonts w:ascii="Times New Roman;serif" w:hAnsi="Times New Roman;serif"/>
          <w:b w:val="false"/>
          <w:color w:val="000000"/>
          <w:sz w:val="20"/>
        </w:rPr>
        <w:t xml:space="preserve">, </w:t>
      </w:r>
      <w:r>
        <w:rPr>
          <w:rFonts w:ascii="Times New Roman;serif" w:hAnsi="Times New Roman;serif"/>
          <w:b w:val="false"/>
          <w:color w:val="0000FF"/>
          <w:sz w:val="20"/>
        </w:rPr>
        <w:t>sport</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FF"/>
          <w:sz w:val="20"/>
        </w:rPr>
        <w:t>entertainment</w:t>
      </w:r>
      <w:r>
        <w:rPr>
          <w:color w:val="000000"/>
        </w:rPr>
        <w:t xml:space="preserve"> </w:t>
      </w:r>
      <w:r>
        <w:rPr>
          <w:rFonts w:ascii="Times New Roman;serif" w:hAnsi="Times New Roman;serif"/>
          <w:b w:val="false"/>
          <w:color w:val="000000"/>
          <w:sz w:val="20"/>
        </w:rPr>
        <w:t xml:space="preserve">events providing depth and breadth of coverage that is unmatched. Getty Images maintains one of the largest and best privately-owned </w:t>
      </w:r>
      <w:r>
        <w:rPr>
          <w:rFonts w:ascii="Times New Roman;serif" w:hAnsi="Times New Roman;serif"/>
          <w:b w:val="false"/>
          <w:color w:val="0000FF"/>
          <w:sz w:val="20"/>
        </w:rPr>
        <w:t>photographic archives</w:t>
      </w:r>
      <w:r>
        <w:rPr>
          <w:color w:val="000000"/>
        </w:rPr>
        <w:t xml:space="preserve"> </w:t>
      </w:r>
      <w:r>
        <w:rPr>
          <w:rFonts w:ascii="Times New Roman;serif" w:hAnsi="Times New Roman;serif"/>
          <w:b w:val="false"/>
          <w:color w:val="000000"/>
          <w:sz w:val="20"/>
        </w:rPr>
        <w:t>in the world with millions of images dating back to the beginning of photography.</w:t>
      </w:r>
    </w:p>
    <w:p>
      <w:pPr>
        <w:pStyle w:val="TextBody"/>
        <w:bidi w:val="0"/>
        <w:spacing w:before="0" w:after="2"/>
        <w:jc w:val="left"/>
        <w:rPr/>
      </w:pPr>
      <w:r>
        <w:rPr/>
      </w:r>
    </w:p>
    <w:p>
      <w:pPr>
        <w:pStyle w:val="TextBody"/>
        <w:bidi w:val="0"/>
        <w:spacing w:lineRule="auto" w:line="300" w:before="0" w:after="2"/>
        <w:jc w:val="both"/>
        <w:rPr/>
      </w:pPr>
      <w:r>
        <w:rPr>
          <w:rFonts w:ascii="Times New Roman;serif" w:hAnsi="Times New Roman;serif"/>
          <w:b w:val="false"/>
          <w:color w:val="000000"/>
          <w:sz w:val="20"/>
        </w:rPr>
        <w:t>Through its</w:t>
      </w:r>
      <w:r>
        <w:rPr>
          <w:color w:val="0000FF"/>
        </w:rPr>
        <w:t xml:space="preserve"> </w:t>
      </w:r>
      <w:r>
        <w:rPr>
          <w:rFonts w:ascii="Times New Roman;serif" w:hAnsi="Times New Roman;serif"/>
          <w:b w:val="false"/>
          <w:color w:val="0000FF"/>
          <w:sz w:val="20"/>
        </w:rPr>
        <w:t>best-in-class creative library</w:t>
      </w:r>
      <w:r>
        <w:rPr>
          <w:color w:val="000000"/>
        </w:rPr>
        <w:t xml:space="preserve"> </w:t>
      </w:r>
      <w:r>
        <w:rPr>
          <w:rFonts w:ascii="Times New Roman;serif" w:hAnsi="Times New Roman;serif"/>
          <w:b w:val="false"/>
          <w:color w:val="000000"/>
          <w:sz w:val="20"/>
        </w:rPr>
        <w:t>and</w:t>
      </w:r>
      <w:r>
        <w:rPr>
          <w:color w:val="0000FF"/>
        </w:rPr>
        <w:t xml:space="preserve"> </w:t>
      </w:r>
      <w:r>
        <w:rPr>
          <w:rFonts w:ascii="Times New Roman;serif" w:hAnsi="Times New Roman;serif"/>
          <w:b w:val="false"/>
          <w:color w:val="0000FF"/>
          <w:sz w:val="20"/>
        </w:rPr>
        <w:t>Custom Content</w:t>
      </w:r>
      <w:r>
        <w:rPr>
          <w:color w:val="000000"/>
        </w:rPr>
        <w:t xml:space="preserve"> </w:t>
      </w:r>
      <w:r>
        <w:rPr>
          <w:rFonts w:ascii="Times New Roman;serif" w:hAnsi="Times New Roman;serif"/>
          <w:b w:val="false"/>
          <w:color w:val="000000"/>
          <w:sz w:val="20"/>
        </w:rPr>
        <w:t>solutions, Getty Images helps customers elevate their creativity and entire end</w:t>
        <w:noBreakHyphen/>
        <w:t>to</w:t>
        <w:noBreakHyphen/>
        <w:t xml:space="preserve">end creative process </w:t>
      </w:r>
      <w:r>
        <w:rPr>
          <w:rFonts w:ascii="Times New Roman;serif" w:hAnsi="Times New Roman;serif"/>
          <w:b w:val="false"/>
          <w:color w:val="212529"/>
          <w:sz w:val="20"/>
        </w:rPr>
        <w:t>to find the right visual for any need</w:t>
      </w:r>
      <w:r>
        <w:rPr>
          <w:rFonts w:ascii="Times New Roman;serif" w:hAnsi="Times New Roman;serif"/>
          <w:b w:val="false"/>
          <w:color w:val="000000"/>
          <w:sz w:val="20"/>
        </w:rPr>
        <w:t>. With the adoption and distribution of generative AI technologies and tools trained on permissioned content that include</w:t>
      </w:r>
      <w:r>
        <w:rPr>
          <w:color w:val="080808"/>
        </w:rPr>
        <w:t xml:space="preserve"> </w:t>
      </w:r>
      <w:r>
        <w:rPr>
          <w:rFonts w:ascii="Times New Roman;serif" w:hAnsi="Times New Roman;serif"/>
          <w:b w:val="false"/>
          <w:color w:val="080808"/>
          <w:sz w:val="20"/>
        </w:rPr>
        <w:t>indemnification and perpetual, worldwide usage rights</w:t>
      </w:r>
      <w:r>
        <w:rPr>
          <w:rFonts w:ascii="Times New Roman;serif" w:hAnsi="Times New Roman;serif"/>
          <w:b w:val="false"/>
          <w:color w:val="000000"/>
          <w:sz w:val="20"/>
        </w:rPr>
        <w:t>,</w:t>
      </w:r>
      <w:r>
        <w:rPr>
          <w:color w:val="0000FF"/>
        </w:rPr>
        <w:t xml:space="preserve"> </w:t>
      </w:r>
      <w:r>
        <w:rPr>
          <w:rFonts w:ascii="Times New Roman;serif" w:hAnsi="Times New Roman;serif"/>
          <w:b w:val="false"/>
          <w:color w:val="0000FF"/>
          <w:sz w:val="20"/>
        </w:rPr>
        <w:t>Getty Images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FF"/>
          <w:sz w:val="20"/>
        </w:rPr>
        <w:t>iStock</w:t>
      </w:r>
      <w:r>
        <w:rPr>
          <w:color w:val="000000"/>
        </w:rPr>
        <w:t xml:space="preserve"> </w:t>
      </w:r>
      <w:r>
        <w:rPr>
          <w:rFonts w:ascii="Times New Roman;serif" w:hAnsi="Times New Roman;serif"/>
          <w:b w:val="false"/>
          <w:color w:val="000000"/>
          <w:sz w:val="20"/>
        </w:rPr>
        <w:t xml:space="preserve">customers can use text to image generation to ideate and create commercially safe compelling visuals, further </w:t>
      </w:r>
      <w:r>
        <w:rPr>
          <w:rFonts w:ascii="Times New Roman;serif" w:hAnsi="Times New Roman;serif"/>
          <w:b w:val="false"/>
          <w:color w:val="080808"/>
          <w:sz w:val="20"/>
        </w:rPr>
        <w:t>expanding Getty Images capabilities to deliver exactly what customers are looking for.</w:t>
      </w:r>
    </w:p>
    <w:p>
      <w:pPr>
        <w:pStyle w:val="TextBody"/>
        <w:bidi w:val="0"/>
        <w:spacing w:before="0" w:after="2"/>
        <w:jc w:val="left"/>
        <w:rPr/>
      </w:pPr>
      <w:r>
        <w:rPr/>
      </w:r>
    </w:p>
    <w:p>
      <w:pPr>
        <w:pStyle w:val="TextBody"/>
        <w:bidi w:val="0"/>
        <w:spacing w:lineRule="auto" w:line="300" w:before="0" w:after="2"/>
        <w:jc w:val="both"/>
        <w:rPr/>
      </w:pPr>
      <w:r>
        <w:rPr>
          <w:rFonts w:ascii="Times New Roman;serif" w:hAnsi="Times New Roman;serif"/>
          <w:b w:val="false"/>
          <w:color w:val="000000"/>
          <w:sz w:val="20"/>
        </w:rPr>
        <w:t xml:space="preserve">For Company news and announcements, visit our </w:t>
      </w:r>
      <w:r>
        <w:rPr>
          <w:rFonts w:ascii="Times New Roman;serif" w:hAnsi="Times New Roman;serif"/>
          <w:b w:val="false"/>
          <w:color w:val="0000FF"/>
          <w:sz w:val="20"/>
        </w:rPr>
        <w:t>Newsroom</w:t>
      </w:r>
      <w:r>
        <w:rPr>
          <w:rFonts w:ascii="Times New Roman;serif" w:hAnsi="Times New Roman;serif"/>
          <w:b w:val="false"/>
          <w:color w:val="000000"/>
          <w:sz w:val="20"/>
        </w:rPr>
        <w:t>.</w:t>
      </w:r>
    </w:p>
    <w:p>
      <w:pPr>
        <w:pStyle w:val="TextBody"/>
        <w:bidi w:val="0"/>
        <w:spacing w:before="0" w:after="2"/>
        <w:jc w:val="both"/>
        <w:rPr/>
      </w:pPr>
      <w:r>
        <w:rPr/>
      </w:r>
    </w:p>
    <w:p>
      <w:pPr>
        <w:pStyle w:val="TextBody"/>
        <w:bidi w:val="0"/>
        <w:spacing w:lineRule="auto" w:line="300" w:before="0" w:after="2"/>
        <w:jc w:val="left"/>
        <w:rPr>
          <w:rFonts w:ascii="Times New Roman;serif" w:hAnsi="Times New Roman;serif"/>
          <w:b/>
          <w:color w:val="2F5496"/>
          <w:sz w:val="20"/>
        </w:rPr>
      </w:pPr>
      <w:r>
        <w:rPr>
          <w:rFonts w:ascii="Times New Roman;serif" w:hAnsi="Times New Roman;serif"/>
          <w:b/>
          <w:color w:val="2F5496"/>
          <w:sz w:val="20"/>
        </w:rPr>
        <w:t>Forward-Looking Statements</w:t>
      </w:r>
    </w:p>
    <w:p>
      <w:pPr>
        <w:pStyle w:val="TextBody"/>
        <w:bidi w:val="0"/>
        <w:spacing w:lineRule="auto" w:line="268"/>
        <w:jc w:val="both"/>
        <w:rPr>
          <w:rFonts w:ascii="Times New Roman;serif" w:hAnsi="Times New Roman;serif"/>
          <w:b w:val="false"/>
          <w:color w:val="000000"/>
          <w:sz w:val="20"/>
        </w:rPr>
      </w:pPr>
      <w:r>
        <w:rPr>
          <w:rFonts w:ascii="Times New Roman;serif" w:hAnsi="Times New Roman;serif"/>
          <w:b w:val="false"/>
          <w:color w:val="000000"/>
          <w:sz w:val="20"/>
        </w:rPr>
        <w:t xml:space="preserve">Certain statements included in this press release are not historical facts and are forward-looking statements for purposes of the safe harbor provisions under the United States Private Securities Litigation Reform Act of 1995. Forward-looking statements may be identified by the use of the words such as “believe,” “may,” “will,” “estimate,”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color w:val="000000"/>
        </w:rPr>
      </w:pPr>
      <w:r>
        <w:rPr>
          <w:color w:val="000000"/>
        </w:rPr>
        <w:t>“</w:t>
      </w:r>
      <w:r>
        <w:rPr>
          <w:rFonts w:ascii="Times New Roman;serif" w:hAnsi="Times New Roman;serif"/>
          <w:b w:val="false"/>
          <w:color w:val="000000"/>
          <w:sz w:val="20"/>
        </w:rPr>
        <w:t>continue,” “anticipate,” “intend,” “expect,” “should,” “would,” “plan,” “project,” “forecast,” “predict,” “potential,” “seem,” “seek,” “future,” “outlook,” “target” or similar expressions that predict or indicate future events or trends or that are not statements of historical matters. These forward-looking statements include, but are not limited to, statements regarding estimates and forecasts of other financial and performance metrics and projections of market opportunity, and the determination of the Company not to provide earnings guidance at this time. These statements are based on various assumptions, whether or not identified in this report, and on the current expectations of our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our control.</w:t>
      </w:r>
    </w:p>
    <w:p>
      <w:pPr>
        <w:pStyle w:val="TextBody"/>
        <w:bidi w:val="0"/>
        <w:spacing w:lineRule="auto" w:line="268"/>
        <w:jc w:val="both"/>
        <w:rPr/>
      </w:pPr>
      <w:r>
        <w:rPr>
          <w:rFonts w:ascii="Times New Roman;serif" w:hAnsi="Times New Roman;serif"/>
          <w:b w:val="false"/>
          <w:color w:val="000000"/>
          <w:sz w:val="20"/>
          <w:shd w:fill="FFFF00" w:val="clear"/>
        </w:rPr>
        <w:br/>
      </w:r>
      <w:r>
        <w:rPr>
          <w:rFonts w:ascii="Times New Roman;serif" w:hAnsi="Times New Roman;serif"/>
          <w:b w:val="false"/>
          <w:color w:val="000000"/>
          <w:sz w:val="20"/>
        </w:rPr>
        <w:t xml:space="preserve">These forward-looking statements are subject to a number of risks and uncertainties, including: our inability to continue to license third-party content and offer relevant quality and diversity of content to satisfy customer needs; our ability to attract new customers and retain and motivate an increase in spending by our existing customers; our ability to grow our subscriptions business; the user experience of our customers on our websites; the extent to which we are able to maintain and expand the breadth and quality of our content library through content licensed from third-party suppliers, content acquisitions and imagery captured by our staff of in-house photographers; the mix of and basis upon which we license our content, including the price-points at, and the license models and purchase options through, which we license our content; the risk that we operate in a highly competitive market; the risk that we are unable to successfully execute our business strategy or effectively manage costs; our inability to effectively manage our growth; our inability to maintain an effective system of internal controls and financial reporting; our incurrence of debt, including related interest rate volatility and rising interest costs, which could have a negative impact on our financing options and liquidity position; our need to seek additional capital and any related inability to obtain additional capital on commercially reasonable terms; the risk that we may lose the right to use “Getty Images” trademarks; our inability to evaluate our future prospects and challenges due to evolving markets and customers’ industries; the legal, social and ethical issues relating to the use of new and evolving technologies, such as Artificial Intelligence and machine learning (collectively, “AI”), including statements regarding AI and innovation momentum; the increased use of AI applications such as generative AI technologies that may result in harm to our brand, reputation, business, or intellectual property; the risk that our operations in and continued expansion into international markets bring additional business, political, regulatory, operational, financial and economic risks; our inability to adequately adapt our technology systems to ingest and deliver sufficient new content; the risk of technological interruptions or cybersecurity breaches, incidents, and vulnerabilities; the risk that any prolonged strike by, or lockout of, one or more of the unions that provide personnel essential to the production of films or television programs, such as the 2023 strike by the writers’ union and the actors’ unions and including its lingering effects, could further impact our entertainment business; the inability to expand our operations into new products, services and technologies and to increase customer and supplier awareness of our new and emerging products and services, including with respect to our AI initiatives; the loss of and inability to attract and retain key personnel that could negatively impact our business growth; the inability to protect the proprietary information of customers and networks against security breaches and protect and enforce intellectual property rights; our reliance on third parties; the risks related to our use of independent contractors; the risk that an increase in government regulation of the industries and markets in which we operate could negatively impact our business; the impact of worldwide and regional political, military or economic conditions, including declines in foreign currencies in relation to the value of the U.S. Dollar, hyperinflation, higher interest rates, trade wars and restrictions, tariffs, devaluation, military conflicts in Ukraine, South America and the Middle East, the impact of bank failures on the marketplace and the ability to access credit and significant political or civil disturbances in international markets where we conduct business; the risk that claims, judgments, lawsuits and other proceedings that have been, or may be, instituted against us or our predecessors, including pending lawsuits brought against us by former warrant holders, could adversely affect our business; the inability to regain compliance with the New York Stock Exchange continued listing standards; volatility in our stock price and in the liquidity of the trading market for our Class A common stock; the impact of any widespread outbreak of an illness, pandemic or other local or global health issue, natural disasters, or climate change; changes in applicable laws or regulations; the risks associated with evolving corporate governance and public disclosure requirements; the risk of greater than anticipated tax liabilities; the risks associated with the storage and use of personally identifiable information; earnings-related risks such as those associated with late payments, goodwill or other intangible assets; the risks associated with being an “emerging growth company” and “smaller reporting company” within the meaning of the U.S. securities laws; risks associated with our reliance on information technology in critical areas of our operations; our potential inability to pay dividends for the foreseeable future; the risks associated with additional issuances of Class A common stock without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stockholder approval; costs related to operating as a public company; our ability to successfully identify and implement any potential strategic alternatives in a timely manner or at all, and the perceived uncertainties related to the Company; our expressed substantial doubt about our ability to continue as a going concern; and other risks and uncertainties identified in “Item 1A. Risk Factors” of our most recently filed Annual Report on Form 10-K for the year ended December 31, 2025, filed with the Securities and Exchange Commission (“SEC”) on March 16, 2026, as amended by Amendment No. 1 on Form 10-K/A filed with the SEC on April 27, 2026 (the “2025 Form 10-K”) and in our other filings with the SEC. If any of these risks materialize or our assumptions prove incorrect, actual results could differ materially from the results implied by these 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and other factors that could cause actual results to differ from those implied by the forward-looking statements in this report are more fully described under the heading “Item 1A. Risk Factors” in our 2025 Form 10-K and in our other filings with the SEC. The risks described under the heading “Item 1.A. Risk Factors” in our 2025 Form 10-K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All forward-looking statements attributable to us or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the statements of belief and similar statements reflect our beliefs and opinions on the relevant subject. These statements are based upon information available to us, as applicable, as of the date of this report, and while we believe such information forms a reasonable basis for such statements, such information may be limited or incomplete, and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0" w:after="0"/>
        <w:jc w:val="both"/>
        <w:rPr/>
      </w:pPr>
      <w:r>
        <w:rPr/>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0" w:after="2"/>
        <w:jc w:val="center"/>
        <w:rPr>
          <w:rFonts w:ascii="Times New Roman;serif" w:hAnsi="Times New Roman;serif"/>
          <w:b/>
          <w:color w:val="000000"/>
          <w:sz w:val="20"/>
        </w:rPr>
      </w:pPr>
      <w:r>
        <w:rPr>
          <w:rFonts w:ascii="Times New Roman;serif" w:hAnsi="Times New Roman;serif"/>
          <w:b/>
          <w:color w:val="000000"/>
          <w:sz w:val="20"/>
        </w:rPr>
        <w:t>GETTY IMAGES HOLDINGS, INC.</w:t>
      </w:r>
    </w:p>
    <w:p>
      <w:pPr>
        <w:pStyle w:val="TextBody"/>
        <w:bidi w:val="0"/>
        <w:spacing w:lineRule="auto" w:line="240" w:before="0" w:after="2"/>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869"/>
        <w:gridCol w:w="1533"/>
        <w:gridCol w:w="1555"/>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91"/>
        <w:gridCol w:w="157"/>
      </w:tblGrid>
      <w:tr>
        <w:trPr/>
        <w:tc>
          <w:tcPr>
            <w:tcW w:w="1869"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4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95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229,098 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234,882 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455,671 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458,959 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Cost of revenue (exclusive of depreciation and amortization)</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68,286 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65,629 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134,454 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125,838 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57"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101,498 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105,066 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203,685 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203,334 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31,878 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30,482 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57"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1,139 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Loss on litigation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6,350 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57"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operating expenses –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28,914 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color w:val="000000"/>
              </w:rPr>
            </w:pPr>
            <w:r>
              <w:rPr>
                <w:color w:val="000000"/>
              </w:rPr>
              <w:t>  </w:t>
            </w:r>
            <w:r>
              <w:rPr>
                <w:rFonts w:ascii="Times New Roman;serif" w:hAnsi="Times New Roman;serif"/>
                <w:b w:val="false"/>
                <w:color w:val="000000"/>
                <w:sz w:val="18"/>
              </w:rPr>
              <w:t>Total operating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196,731 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199,322 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391,750 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396,057 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57"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32,367 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35,560 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63,921 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62,902 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57"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(57,339)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(36,556)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(111,513)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(69,231)</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57"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(Loss) on fair value adjustment for swaps –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Foreign exchange gain (loss) –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(54,771)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(79,849)</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57"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(5,474)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non-operating income (expense) –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(4,029)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other expense –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(44,760)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(93,262)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(78,153)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(158,583)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(57,702)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(95,681)</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57"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(73,384)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(75,979)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(41,250)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57"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(85,777)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(34,359)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(90,211)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(136,931)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57"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495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loss attributable to Getty Images Holdings, Inc.</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(86,307)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(35,069)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(90,371)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(137,641)</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loss per share attributable to Class A Getty Images Holdings, Inc. common stockholders: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(0.33)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(0.33)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Weighted-average Class A common shares outstanding: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419,598,181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413,741,878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418,574,308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413,110,883</w:t>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 xml:space="preserve">Diluted </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419,598,181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413,741,878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418,574,308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413,110,883</w:t>
            </w:r>
          </w:p>
        </w:tc>
      </w:tr>
    </w:tbl>
    <w:p>
      <w:pPr>
        <w:pStyle w:val="TextBody"/>
        <w:bidi w:val="0"/>
        <w:spacing w:before="0" w:after="240"/>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GETTY IMAGES HOLDINGS, INC.</w:t>
      </w:r>
    </w:p>
    <w:p>
      <w:pPr>
        <w:pStyle w:val="TextBody"/>
        <w:bidi w:val="0"/>
        <w:spacing w:lineRule="auto" w:line="240" w:before="0" w:after="2"/>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40" w:before="0" w:after="2"/>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par value data)</w:t>
      </w:r>
    </w:p>
    <w:p>
      <w:pPr>
        <w:pStyle w:val="TextBody"/>
        <w:bidi w:val="0"/>
        <w:spacing w:before="0" w:after="2"/>
        <w:jc w:val="center"/>
        <w:rPr/>
      </w:pPr>
      <w:r>
        <w:rPr/>
      </w:r>
    </w:p>
    <w:tbl>
      <w:tblPr>
        <w:tblW w:w="10205" w:type="dxa"/>
        <w:jc w:val="center"/>
        <w:tblInd w:w="0" w:type="dxa"/>
        <w:tblLayout w:type="fixed"/>
        <w:tblCellMar>
          <w:top w:w="28" w:type="dxa"/>
          <w:left w:w="28" w:type="dxa"/>
          <w:bottom w:w="28" w:type="dxa"/>
          <w:right w:w="28" w:type="dxa"/>
        </w:tblCellMar>
      </w:tblPr>
      <w:tblGrid>
        <w:gridCol w:w="2965"/>
        <w:gridCol w:w="2253"/>
        <w:gridCol w:w="2261"/>
        <w:gridCol w:w="196"/>
        <w:gridCol w:w="871"/>
        <w:gridCol w:w="109"/>
        <w:gridCol w:w="109"/>
        <w:gridCol w:w="109"/>
        <w:gridCol w:w="109"/>
        <w:gridCol w:w="196"/>
        <w:gridCol w:w="871"/>
        <w:gridCol w:w="156"/>
      </w:tblGrid>
      <w:tr>
        <w:trPr/>
        <w:tc>
          <w:tcPr>
            <w:tcW w:w="2965"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 xml:space="preserve">ASSETS </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51,621 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90,183 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646,275 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635,124 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Accounts receivable – net of allowance of $5,754 and $5,338,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169,143 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208,468 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20,786 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Insurance recovery receivable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34,954 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Taxes receivable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10,342 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11,526 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908,085 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1,011,383 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 xml:space="preserve">Property and equipment, net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177,222 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184,189 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24,262 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1,512,727 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1,516,265 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 xml:space="preserve">Intangible assets, net of accumulated amortization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407,055 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414,699 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Deferred income taxes,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57,977 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31,419 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31,513 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3,057,112 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3,240,288 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 xml:space="preserve">Current liabilities: </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105,277 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114,231 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66,982 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89,854 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Short-term debt,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702,130 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696,474 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13,772 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Litigation reserves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99,475 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205,324 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178,975 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188,338 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1,161,354 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1,307,993 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1,332,773 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1,270,888 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23,553 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Deferred income taxes,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14,217 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Uncertain tax positions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21,122 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2,558,154 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2,639,662 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Commitments &amp; contingencies (Note 11)</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Class A common stock, $0.0001 par value: 2.0 billion shares authorized; 421.0 million shares issued and outstanding as of June 30, 2026 and 417.2 million shares issued and outstanding as of December 31,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2,047,528 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2,039,751 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(1,519,976)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(1,429,605)</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(76,880)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(57,646)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Getty Images Holdings, Inc. stockholders’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450,714 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552,542 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48,244 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48,084 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498,958 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600,626 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erif" w:hAnsi="Times New Roman;serif"/>
                <w:b w:val="false"/>
                <w:color w:val="000000"/>
                <w:sz w:val="18"/>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3,057,112 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3,240,288 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GETTY IMAGES HOLDINGS, INC.</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40" w:before="0" w:after="2"/>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before="0" w:after="2"/>
        <w:jc w:val="left"/>
        <w:rPr/>
      </w:pPr>
      <w:r>
        <w:rPr/>
      </w:r>
    </w:p>
    <w:tbl>
      <w:tblPr>
        <w:tblW w:w="8768" w:type="dxa"/>
        <w:jc w:val="left"/>
        <w:tblInd w:w="0" w:type="dxa"/>
        <w:tblLayout w:type="fixed"/>
        <w:tblCellMar>
          <w:top w:w="28" w:type="dxa"/>
          <w:left w:w="28" w:type="dxa"/>
          <w:bottom w:w="28" w:type="dxa"/>
          <w:right w:w="28" w:type="dxa"/>
        </w:tblCellMar>
      </w:tblPr>
      <w:tblGrid>
        <w:gridCol w:w="2262"/>
        <w:gridCol w:w="1986"/>
        <w:gridCol w:w="1991"/>
        <w:gridCol w:w="196"/>
        <w:gridCol w:w="736"/>
        <w:gridCol w:w="109"/>
        <w:gridCol w:w="109"/>
        <w:gridCol w:w="109"/>
        <w:gridCol w:w="109"/>
        <w:gridCol w:w="196"/>
        <w:gridCol w:w="811"/>
        <w:gridCol w:w="154"/>
      </w:tblGrid>
      <w:tr>
        <w:trPr/>
        <w:tc>
          <w:tcPr>
            <w:tcW w:w="2262"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6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(90,211)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(136,931)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32,604 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31,621 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Foreign currency (gain) losses on foreign denominated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57,141 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Equity-based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8,311 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Debt extinguishment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5,474 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Deferred income taxes –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63,647 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26,118 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Uncertain tax positions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Non-cash operating lease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6,286 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6,233 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37,055 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(6,610)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5,165 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(3,142)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Insurance recovery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32,735 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7,381 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Litigation reserves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(105,849)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3,008 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Lease liabilities, non-current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(7,257)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Income taxes receivable/payable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Interest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9,616 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(6,984)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6,842 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(68,694)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21,930 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Acquisition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(29,899)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(31,817)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(29,899)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(31,817)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Proceeds from issuance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1,040,872 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Debt refinancing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(39,196)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Payment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(42,927)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(1,024,278)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Proceeds from common stock issuance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Payment of taxes associated with equity-based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77,167 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(21,299)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Effects of exchange rates fluctuations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(5,985)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CHANGE IN CASH, CASH EQUIVALENTS AND RESTRICTED CASH</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(27,411)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(10,924)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725,307 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125,304 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697,896 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114,380 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00" w:before="0" w:after="2"/>
        <w:jc w:val="left"/>
        <w:rPr>
          <w:rFonts w:ascii="Times New Roman;serif" w:hAnsi="Times New Roman;serif"/>
          <w:b/>
          <w:color w:val="080808"/>
          <w:sz w:val="22"/>
        </w:rPr>
      </w:pPr>
      <w:r>
        <w:rPr>
          <w:rFonts w:ascii="Times New Roman;serif" w:hAnsi="Times New Roman;serif"/>
          <w:b/>
          <w:color w:val="080808"/>
          <w:sz w:val="22"/>
        </w:rPr>
        <w:t>Non-GAAP Financial Measures</w:t>
      </w:r>
    </w:p>
    <w:p>
      <w:pPr>
        <w:pStyle w:val="TextBody"/>
        <w:bidi w:val="0"/>
        <w:spacing w:before="0" w:after="2"/>
        <w:jc w:val="both"/>
        <w:rPr/>
      </w:pPr>
      <w:r>
        <w:rPr/>
      </w:r>
    </w:p>
    <w:p>
      <w:pPr>
        <w:pStyle w:val="TextBody"/>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In order to assist investors in understanding the core operating results that our management uses to evaluate the business and for financial planning, we present the following non-GAAP measures: (1) Adjusted EBITDA, (2) Adjusted EBITDA margin, (3) Adjusted EBITDA less capex (4) Adjusted EBITDA less capex margin, (5) Adjusted net income, (6) Adjusted earnings per share and (7) Free cash flow. The presentation of this financial information is not intended to be considered in isolation or as a substitute for, or superior to, the financial information prepared and presented in accordance with U.S. GAAP.</w:t>
      </w:r>
    </w:p>
    <w:p>
      <w:pPr>
        <w:pStyle w:val="TextBody"/>
        <w:bidi w:val="0"/>
        <w:spacing w:before="0" w:after="2"/>
        <w:jc w:val="both"/>
        <w:rPr/>
      </w:pPr>
      <w:r>
        <w:rPr/>
      </w:r>
    </w:p>
    <w:p>
      <w:pPr>
        <w:pStyle w:val="TextBody"/>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The Company believes that these measures are relevant and provide useful information widely used by analysts, investors and other interested parties in our industry to provide a baseline for evaluating and comparing our operating performance, and in the case of free cash flow, our liquidity results. We also evaluate our revenue and other metrics on an as reported (U.S. GAAP) and currency neutral basis. Currency neutral revenue changes (expressed as a percentage) exclude the impact of fluctuating foreign currency values pegged to the U.S. Dollar between comparative periods by translating all local currencies using the current period exchange rates. We consistently apply this approach to revenue for all countries where the functional currency is not the U.S. Dollar. We believe presenting currency neutral information provides valuable supplemental information regarding our comparable results, consistent with how we evaluate our performance internally.</w:t>
      </w:r>
    </w:p>
    <w:p>
      <w:pPr>
        <w:pStyle w:val="TextBody"/>
        <w:bidi w:val="0"/>
        <w:spacing w:before="0" w:after="2"/>
        <w:jc w:val="both"/>
        <w:rPr/>
      </w:pPr>
      <w:r>
        <w:rPr/>
      </w:r>
    </w:p>
    <w:p>
      <w:pPr>
        <w:pStyle w:val="TextBody"/>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Reconciliations of these non-GAAP measures to the most comparable GAAP measures are provided below.</w:t>
      </w:r>
    </w:p>
    <w:p>
      <w:pPr>
        <w:pStyle w:val="TextBody"/>
        <w:bidi w:val="0"/>
        <w:spacing w:before="0" w:after="2"/>
        <w:jc w:val="both"/>
        <w:rPr/>
      </w:pPr>
      <w:r>
        <w:rPr/>
      </w:r>
    </w:p>
    <w:p>
      <w:pPr>
        <w:pStyle w:val="TextBody"/>
        <w:bidi w:val="0"/>
        <w:spacing w:before="0" w:after="16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00" w:before="0" w:after="160"/>
        <w:jc w:val="both"/>
        <w:rPr>
          <w:rFonts w:ascii="Times New Roman;serif" w:hAnsi="Times New Roman;serif"/>
          <w:b/>
          <w:color w:val="080808"/>
          <w:sz w:val="22"/>
        </w:rPr>
      </w:pPr>
      <w:r>
        <w:rPr>
          <w:rFonts w:ascii="Times New Roman;serif" w:hAnsi="Times New Roman;serif"/>
          <w:b/>
          <w:color w:val="080808"/>
          <w:sz w:val="22"/>
        </w:rPr>
        <w:t>Reconciliation of Adjusted EBITDA, Adjusted EBITDA margin, and Adjusted EBITDA less capex and Adjusted EBITDA less capex margin</w:t>
      </w:r>
    </w:p>
    <w:p>
      <w:pPr>
        <w:pStyle w:val="TextBody"/>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Adjusted EBITDA, Adjusted EBITDA margin, Adjusted EBITDA less capex and Adjusted EBITDA less capex margin are non-GAAP financial measures that we use to provide a more meaningful comparison of our core operating results from period to period. We define Adjusted EBITDA as net income before interest, taxes, depreciation, amortization, equity-based compensation, other operating expenses-net, and certain other expenses not directly related to the core operations of our business. We define Adjusted EBITDA margin as the ratio of Adjusted EBITDA to revenue (in thousands). The following table reconciles net income (loss), the most directly comparable GAAP measure, to Adjusted EBITDA, Adjusted EBITDA margin, Adjusted EBITDA less capex and Adjusted EBITDA less capex margin for the periods presented:</w:t>
      </w:r>
    </w:p>
    <w:p>
      <w:pPr>
        <w:pStyle w:val="TextBody"/>
        <w:bidi w:val="0"/>
        <w:spacing w:before="0" w:after="2"/>
        <w:jc w:val="left"/>
        <w:rPr/>
      </w:pPr>
      <w:r>
        <w:rPr/>
      </w:r>
    </w:p>
    <w:p>
      <w:pPr>
        <w:pStyle w:val="TextBody"/>
        <w:bidi w:val="0"/>
        <w:spacing w:before="0" w:after="2"/>
        <w:jc w:val="left"/>
        <w:rPr/>
      </w:pPr>
      <w:r>
        <w:rPr/>
      </w:r>
    </w:p>
    <w:tbl>
      <w:tblPr>
        <w:tblW w:w="10205" w:type="dxa"/>
        <w:jc w:val="left"/>
        <w:tblInd w:w="0" w:type="dxa"/>
        <w:tblLayout w:type="fixed"/>
        <w:tblCellMar>
          <w:top w:w="28" w:type="dxa"/>
          <w:left w:w="28" w:type="dxa"/>
          <w:bottom w:w="28" w:type="dxa"/>
          <w:right w:w="28" w:type="dxa"/>
        </w:tblCellMar>
      </w:tblPr>
      <w:tblGrid>
        <w:gridCol w:w="1503"/>
        <w:gridCol w:w="1292"/>
        <w:gridCol w:w="1303"/>
        <w:gridCol w:w="109"/>
        <w:gridCol w:w="109"/>
        <w:gridCol w:w="109"/>
        <w:gridCol w:w="196"/>
        <w:gridCol w:w="713"/>
        <w:gridCol w:w="256"/>
        <w:gridCol w:w="109"/>
        <w:gridCol w:w="109"/>
        <w:gridCol w:w="109"/>
        <w:gridCol w:w="196"/>
        <w:gridCol w:w="713"/>
        <w:gridCol w:w="256"/>
        <w:gridCol w:w="109"/>
        <w:gridCol w:w="109"/>
        <w:gridCol w:w="109"/>
        <w:gridCol w:w="196"/>
        <w:gridCol w:w="713"/>
        <w:gridCol w:w="256"/>
        <w:gridCol w:w="109"/>
        <w:gridCol w:w="109"/>
        <w:gridCol w:w="109"/>
        <w:gridCol w:w="196"/>
        <w:gridCol w:w="803"/>
        <w:gridCol w:w="305"/>
      </w:tblGrid>
      <w:tr>
        <w:trPr/>
        <w:tc>
          <w:tcPr>
            <w:tcW w:w="150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4098" w:type="dxa"/>
            <w:gridSpan w:val="3"/>
            <w:tcBorders/>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098" w:type="dxa"/>
            <w:gridSpan w:val="3"/>
            <w:tcBorders/>
            <w:shd w:fill="CFF0FC"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(85,777)</w:t>
            </w:r>
          </w:p>
        </w:tc>
        <w:tc>
          <w:tcPr>
            <w:tcW w:w="25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(34,359)</w:t>
            </w:r>
          </w:p>
        </w:tc>
        <w:tc>
          <w:tcPr>
            <w:tcW w:w="25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(90,211)</w:t>
            </w:r>
          </w:p>
        </w:tc>
        <w:tc>
          <w:tcPr>
            <w:tcW w:w="25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(136,931)</w:t>
            </w:r>
          </w:p>
        </w:tc>
        <w:tc>
          <w:tcPr>
            <w:tcW w:w="30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18"/>
              </w:rPr>
            </w:pPr>
            <w:r>
              <w:rPr>
                <w:rFonts w:ascii="Times New Roman;serif" w:hAnsi="Times New Roman;serif"/>
                <w:b w:val="false"/>
                <w:color w:val="000000"/>
                <w:sz w:val="18"/>
              </w:rPr>
              <w:t>Add/(less) 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CFF0FC"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6" w:space="0" w:color="000000"/>
            </w:tcBorders>
            <w:shd w:fill="CFF0FC"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15,945 </w:t>
            </w:r>
          </w:p>
        </w:tc>
        <w:tc>
          <w:tcPr>
            <w:tcW w:w="256" w:type="dxa"/>
            <w:tcBorders>
              <w:top w:val="single" w:sz="6"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6" w:space="0" w:color="000000"/>
            </w:tcBorders>
            <w:shd w:fill="CFF0FC"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16,108 </w:t>
            </w:r>
          </w:p>
        </w:tc>
        <w:tc>
          <w:tcPr>
            <w:tcW w:w="256" w:type="dxa"/>
            <w:tcBorders>
              <w:top w:val="single" w:sz="6"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32,604 </w:t>
            </w:r>
          </w:p>
        </w:tc>
        <w:tc>
          <w:tcPr>
            <w:tcW w:w="25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31,621 </w:t>
            </w:r>
          </w:p>
        </w:tc>
        <w:tc>
          <w:tcPr>
            <w:tcW w:w="30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18"/>
              </w:rPr>
            </w:pPr>
            <w:r>
              <w:rPr>
                <w:rFonts w:ascii="Times New Roman;serif" w:hAnsi="Times New Roman;serif"/>
                <w:b w:val="false"/>
                <w:color w:val="000000"/>
                <w:sz w:val="18"/>
              </w:rPr>
              <w:t>Other operating expense –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6,692 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10,512 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11,574 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28,914 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CFF0FC"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18"/>
              </w:rPr>
            </w:pPr>
            <w:r>
              <w:rPr>
                <w:rFonts w:ascii="Times New Roman;serif" w:hAnsi="Times New Roman;serif"/>
                <w:b w:val="false"/>
                <w:color w:val="000000"/>
                <w:sz w:val="18"/>
              </w:rPr>
              <w:t>Loss on litigation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4,310 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2,007 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9,433 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6,350 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57,339 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36,556 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111,513 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69,231 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CFF0FC" w:val="clear"/>
            <w:tcMar>
              <w:top w:w="0" w:type="dxa"/>
              <w:left w:w="0" w:type="dxa"/>
              <w:bottom w:w="0" w:type="dxa"/>
              <w:right w:w="0" w:type="dxa"/>
            </w:tcMar>
            <w:vAlign w:val="center"/>
          </w:tcPr>
          <w:p>
            <w:pPr>
              <w:pStyle w:val="TableContents"/>
              <w:bidi w:val="0"/>
              <w:spacing w:lineRule="auto" w:line="273" w:before="0" w:after="2"/>
              <w:jc w:val="left"/>
              <w:rPr/>
            </w:pPr>
            <w:r>
              <w:rPr>
                <w:rFonts w:ascii="Times New Roman;serif" w:hAnsi="Times New Roman;serif"/>
                <w:b w:val="false"/>
                <w:color w:val="000000"/>
                <w:sz w:val="18"/>
              </w:rPr>
              <w:t xml:space="preserve">Foreign exchange and other non-operating (income) expense </w:t>
            </w:r>
            <w:r>
              <w:rPr>
                <w:rFonts w:ascii="Times New Roman;serif" w:hAnsi="Times New Roman;serif"/>
                <w:b w:val="false"/>
                <w:color w:val="000000"/>
                <w:sz w:val="12"/>
              </w:rPr>
              <w:t>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(12,579)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56,706 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(33,360)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83,878 </w:t>
            </w:r>
          </w:p>
        </w:tc>
        <w:tc>
          <w:tcPr>
            <w:tcW w:w="305" w:type="dxa"/>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73" w:before="0" w:after="2"/>
              <w:ind w:left="0" w:right="0" w:hanging="144"/>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5,474 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CFF0FC"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73,384 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(23,343)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75,979 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41,250 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18"/>
              </w:rPr>
            </w:pPr>
            <w:r>
              <w:rPr>
                <w:rFonts w:ascii="Times New Roman;serif" w:hAnsi="Times New Roman;serif"/>
                <w:b w:val="false"/>
                <w:color w:val="000000"/>
                <w:sz w:val="18"/>
              </w:rPr>
              <w:t>Equity-based compensation expense, net of 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2,964 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3,787 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6,335 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8,311 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CFF0FC"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62,278 </w:t>
            </w:r>
          </w:p>
        </w:tc>
        <w:tc>
          <w:tcPr>
            <w:tcW w:w="25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67,974 </w:t>
            </w:r>
          </w:p>
        </w:tc>
        <w:tc>
          <w:tcPr>
            <w:tcW w:w="25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123,867 </w:t>
            </w:r>
          </w:p>
        </w:tc>
        <w:tc>
          <w:tcPr>
            <w:tcW w:w="25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138,098 </w:t>
            </w:r>
          </w:p>
        </w:tc>
        <w:tc>
          <w:tcPr>
            <w:tcW w:w="30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18"/>
              </w:rPr>
            </w:pPr>
            <w:r>
              <w:rPr>
                <w:rFonts w:ascii="Times New Roman;serif" w:hAnsi="Times New Roman;serif"/>
                <w:b w:val="false"/>
                <w:color w:val="000000"/>
                <w:sz w:val="18"/>
              </w:rPr>
              <w:t>Capex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13,836 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16,114 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29,899 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31,817 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CFF0FC"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18"/>
              </w:rPr>
            </w:pPr>
            <w:r>
              <w:rPr>
                <w:rFonts w:ascii="Times New Roman;serif" w:hAnsi="Times New Roman;serif"/>
                <w:b w:val="false"/>
                <w:color w:val="000000"/>
                <w:sz w:val="18"/>
              </w:rPr>
              <w:t>Adjusted EBITDA less capex</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48,442 </w:t>
            </w:r>
          </w:p>
        </w:tc>
        <w:tc>
          <w:tcPr>
            <w:tcW w:w="25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51,860 </w:t>
            </w:r>
          </w:p>
        </w:tc>
        <w:tc>
          <w:tcPr>
            <w:tcW w:w="25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93,968 </w:t>
            </w:r>
          </w:p>
        </w:tc>
        <w:tc>
          <w:tcPr>
            <w:tcW w:w="25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106,281 </w:t>
            </w:r>
          </w:p>
        </w:tc>
        <w:tc>
          <w:tcPr>
            <w:tcW w:w="30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18"/>
              </w:rPr>
            </w:pPr>
            <w:r>
              <w:rPr>
                <w:rFonts w:ascii="Times New Roman;serif" w:hAnsi="Times New Roman;serif"/>
                <w:b w:val="false"/>
                <w:color w:val="000000"/>
                <w:sz w:val="18"/>
              </w:rPr>
              <w:t>Net loss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(37.4)</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(14.6)</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(19.8)</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(29.8)</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098" w:type="dxa"/>
            <w:gridSpan w:val="3"/>
            <w:tcBorders/>
            <w:shd w:fill="CFF0FC"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FF0FC"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256" w:type="dxa"/>
            <w:tcBorders/>
            <w:shd w:fill="CFF0FC"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FF0FC"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256" w:type="dxa"/>
            <w:tcBorders/>
            <w:shd w:fill="CFF0FC"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FF0FC"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256" w:type="dxa"/>
            <w:tcBorders/>
            <w:shd w:fill="CFF0FC"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FF0FC"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305" w:type="dxa"/>
            <w:tcBorders/>
            <w:shd w:fill="CFF0FC"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18"/>
              </w:rPr>
            </w:pPr>
            <w:r>
              <w:rPr>
                <w:rFonts w:ascii="Times New Roman;serif" w:hAnsi="Times New Roman;serif"/>
                <w:b w:val="false"/>
                <w:color w:val="000000"/>
                <w:sz w:val="18"/>
              </w:rPr>
              <w:t>Adjusted EBITDA less capex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25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25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25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30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2"/>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(1) Foreign currency exchange contracts, foreign exchange gains (losses) and other insignificant non-operating related expenses (income).</w:t>
      </w:r>
    </w:p>
    <w:p>
      <w:pPr>
        <w:pStyle w:val="TextBody"/>
        <w:bidi w:val="0"/>
        <w:spacing w:before="240" w:after="2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Reconciliation of Adjusted Net Income and Adjusted Earnings Per Share </w:t>
      </w:r>
    </w:p>
    <w:p>
      <w:pPr>
        <w:pStyle w:val="TextBody"/>
        <w:bidi w:val="0"/>
        <w:spacing w:lineRule="auto" w:line="288" w:before="240" w:after="2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Adjusted Net Income and Adjusted Earnings Per Share are non-GAAP financial measures that we use to provide a more meaningful comparison of our core operating results from period to period. These measures exclude the impact of certain items that we believe are not indicative of our core operating performance. These adjustments include, but are not limited to, foreign exchange gains (losses), net and other non-recurring items. The following table reconciles net income (loss) and earnings (loss) per share, the most directly comparable GAAP measures, to adjusted net income (loss) and adjusted earnings (loss) per share for the periods presented:            </w:t>
      </w:r>
    </w:p>
    <w:tbl>
      <w:tblPr>
        <w:tblW w:w="10205" w:type="dxa"/>
        <w:jc w:val="left"/>
        <w:tblInd w:w="0" w:type="dxa"/>
        <w:tblLayout w:type="fixed"/>
        <w:tblCellMar>
          <w:top w:w="28" w:type="dxa"/>
          <w:left w:w="28" w:type="dxa"/>
          <w:bottom w:w="28" w:type="dxa"/>
          <w:right w:w="28" w:type="dxa"/>
        </w:tblCellMar>
      </w:tblPr>
      <w:tblGrid>
        <w:gridCol w:w="1637"/>
        <w:gridCol w:w="1375"/>
        <w:gridCol w:w="1381"/>
        <w:gridCol w:w="109"/>
        <w:gridCol w:w="109"/>
        <w:gridCol w:w="109"/>
        <w:gridCol w:w="240"/>
        <w:gridCol w:w="811"/>
        <w:gridCol w:w="111"/>
        <w:gridCol w:w="111"/>
        <w:gridCol w:w="111"/>
        <w:gridCol w:w="111"/>
        <w:gridCol w:w="240"/>
        <w:gridCol w:w="811"/>
        <w:gridCol w:w="111"/>
        <w:gridCol w:w="109"/>
        <w:gridCol w:w="109"/>
        <w:gridCol w:w="109"/>
        <w:gridCol w:w="196"/>
        <w:gridCol w:w="716"/>
        <w:gridCol w:w="109"/>
        <w:gridCol w:w="109"/>
        <w:gridCol w:w="109"/>
        <w:gridCol w:w="109"/>
        <w:gridCol w:w="196"/>
        <w:gridCol w:w="798"/>
        <w:gridCol w:w="159"/>
      </w:tblGrid>
      <w:tr>
        <w:trPr/>
        <w:tc>
          <w:tcPr>
            <w:tcW w:w="1637"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93" w:type="dxa"/>
            <w:gridSpan w:val="3"/>
            <w:tcBorders/>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tcMar>
              <w:top w:w="0" w:type="dxa"/>
              <w:left w:w="0" w:type="dxa"/>
              <w:bottom w:w="0" w:type="dxa"/>
              <w:right w:w="0" w:type="dxa"/>
            </w:tcMar>
            <w:vAlign w:val="center"/>
          </w:tcPr>
          <w:p>
            <w:pPr>
              <w:pStyle w:val="TableContents"/>
              <w:bidi w:val="0"/>
              <w:spacing w:lineRule="auto" w:line="276" w:before="0" w:after="2"/>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93" w:type="dxa"/>
            <w:gridSpan w:val="3"/>
            <w:tcBorders/>
            <w:shd w:fill="CFF0FC"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(85,777)</w:t>
            </w:r>
          </w:p>
        </w:tc>
        <w:tc>
          <w:tcPr>
            <w:tcW w:w="11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(34,359)</w:t>
            </w:r>
          </w:p>
        </w:tc>
        <w:tc>
          <w:tcPr>
            <w:tcW w:w="11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(90,211)</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(136,931)</w:t>
            </w:r>
          </w:p>
        </w:tc>
        <w:tc>
          <w:tcPr>
            <w:tcW w:w="15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18"/>
              </w:rPr>
            </w:pPr>
            <w:r>
              <w:rPr>
                <w:rFonts w:ascii="Times New Roman;serif" w:hAnsi="Times New Roman;serif"/>
                <w:b w:val="false"/>
                <w:color w:val="000000"/>
                <w:sz w:val="18"/>
              </w:rPr>
              <w:t>Add/(less) 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CFF0FC"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18"/>
              </w:rPr>
            </w:pPr>
            <w:r>
              <w:rPr>
                <w:rFonts w:ascii="Times New Roman;serif" w:hAnsi="Times New Roman;serif"/>
                <w:b w:val="false"/>
                <w:color w:val="000000"/>
                <w:sz w:val="18"/>
              </w:rPr>
              <w:t>Equity-based compensation expense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2,964 </w:t>
            </w:r>
          </w:p>
        </w:tc>
        <w:tc>
          <w:tcPr>
            <w:tcW w:w="1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3,787 </w:t>
            </w:r>
          </w:p>
        </w:tc>
        <w:tc>
          <w:tcPr>
            <w:tcW w:w="1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6,335 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8,311 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left"/>
              <w:rPr/>
            </w:pPr>
            <w:r>
              <w:rPr>
                <w:rFonts w:ascii="Times New Roman;serif" w:hAnsi="Times New Roman;serif"/>
                <w:b w:val="false"/>
                <w:color w:val="000000"/>
                <w:sz w:val="18"/>
              </w:rPr>
              <w:t>Tax effect of equity-based compensation expense</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(763)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(964)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(1,636)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(2,117)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CFF0FC"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18"/>
              </w:rPr>
            </w:pPr>
            <w:r>
              <w:rPr>
                <w:rFonts w:ascii="Times New Roman;serif" w:hAnsi="Times New Roman;serif"/>
                <w:b w:val="false"/>
                <w:color w:val="000000"/>
                <w:sz w:val="18"/>
              </w:rPr>
              <w:t>Loss on litigation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4,310 </w:t>
            </w:r>
          </w:p>
        </w:tc>
        <w:tc>
          <w:tcPr>
            <w:tcW w:w="1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2,007 </w:t>
            </w:r>
          </w:p>
        </w:tc>
        <w:tc>
          <w:tcPr>
            <w:tcW w:w="1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9,433 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6,350 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left"/>
              <w:rPr/>
            </w:pPr>
            <w:r>
              <w:rPr>
                <w:rFonts w:ascii="Times New Roman;serif" w:hAnsi="Times New Roman;serif"/>
                <w:b w:val="false"/>
                <w:color w:val="000000"/>
                <w:sz w:val="18"/>
              </w:rPr>
              <w:t>Tax effect of loss on litigation, net of recovery</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(1,148)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(522)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(2,513)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(1,652)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CFF0FC"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18"/>
              </w:rPr>
            </w:pPr>
            <w:r>
              <w:rPr>
                <w:rFonts w:ascii="Times New Roman;serif" w:hAnsi="Times New Roman;serif"/>
                <w:b w:val="false"/>
                <w:color w:val="000000"/>
                <w:sz w:val="18"/>
              </w:rPr>
              <w:t xml:space="preserve">Foreign exchange </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(6,211)</w:t>
            </w:r>
          </w:p>
        </w:tc>
        <w:tc>
          <w:tcPr>
            <w:tcW w:w="1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54,771 </w:t>
            </w:r>
          </w:p>
        </w:tc>
        <w:tc>
          <w:tcPr>
            <w:tcW w:w="1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(20,985)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79,849 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left"/>
              <w:rPr/>
            </w:pPr>
            <w:r>
              <w:rPr>
                <w:rFonts w:ascii="Times New Roman;serif" w:hAnsi="Times New Roman;serif"/>
                <w:b w:val="false"/>
                <w:color w:val="000000"/>
                <w:sz w:val="18"/>
              </w:rPr>
              <w:t>Tax effect on foreign exchange (loss) gain – net</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1,621 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(15,329)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5,521 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(22,449)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CFF0FC"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18"/>
              </w:rPr>
            </w:pPr>
            <w:r>
              <w:rPr>
                <w:rFonts w:ascii="Times New Roman;serif" w:hAnsi="Times New Roman;serif"/>
                <w:b w:val="false"/>
                <w:color w:val="000000"/>
                <w:sz w:val="18"/>
              </w:rPr>
              <w:t>Acquisition related costs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5,951 </w:t>
            </w:r>
          </w:p>
        </w:tc>
        <w:tc>
          <w:tcPr>
            <w:tcW w:w="1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10,252 </w:t>
            </w:r>
          </w:p>
        </w:tc>
        <w:tc>
          <w:tcPr>
            <w:tcW w:w="1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9,174 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28,295 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left"/>
              <w:rPr/>
            </w:pPr>
            <w:r>
              <w:rPr>
                <w:rFonts w:ascii="Times New Roman;serif" w:hAnsi="Times New Roman;serif"/>
                <w:b w:val="false"/>
                <w:color w:val="000000"/>
                <w:sz w:val="18"/>
              </w:rPr>
              <w:t>Tax effect of acquisition related costs</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(1,461)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(2,614)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(2,154)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(7,307)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CFF0FC"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18"/>
              </w:rPr>
            </w:pPr>
            <w:r>
              <w:rPr>
                <w:rFonts w:ascii="Times New Roman;serif" w:hAnsi="Times New Roman;serif"/>
                <w:b w:val="false"/>
                <w:color w:val="000000"/>
                <w:sz w:val="18"/>
              </w:rPr>
              <w:t>Loss on debt extinguishment and expensed financing costs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FF0FC" w:val="clear"/>
            <w:tcMar>
              <w:top w:w="0" w:type="dxa"/>
              <w:left w:w="0" w:type="dxa"/>
              <w:bottom w:w="0" w:type="dxa"/>
              <w:right w:w="0" w:type="dxa"/>
            </w:tcMar>
            <w:vAlign w:val="center"/>
          </w:tcPr>
          <w:p>
            <w:pPr>
              <w:pStyle w:val="TableContents"/>
              <w:bidi w:val="0"/>
              <w:spacing w:lineRule="auto" w:line="273" w:before="0" w:after="2"/>
              <w:jc w:val="right"/>
              <w:rPr>
                <w:color w:val="000000"/>
              </w:rPr>
            </w:pPr>
            <w:r>
              <w:rPr>
                <w:color w:val="000000"/>
              </w:rPr>
              <w:t>— </w:t>
            </w:r>
          </w:p>
        </w:tc>
        <w:tc>
          <w:tcPr>
            <w:tcW w:w="1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2,857 </w:t>
            </w:r>
          </w:p>
        </w:tc>
        <w:tc>
          <w:tcPr>
            <w:tcW w:w="1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FF0FC" w:val="clear"/>
            <w:tcMar>
              <w:top w:w="0" w:type="dxa"/>
              <w:left w:w="0" w:type="dxa"/>
              <w:bottom w:w="0" w:type="dxa"/>
              <w:right w:w="0" w:type="dxa"/>
            </w:tcMar>
            <w:vAlign w:val="center"/>
          </w:tcPr>
          <w:p>
            <w:pPr>
              <w:pStyle w:val="TableContents"/>
              <w:bidi w:val="0"/>
              <w:spacing w:lineRule="auto" w:line="273" w:before="0" w:after="2"/>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11,508 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left"/>
              <w:rPr/>
            </w:pPr>
            <w:r>
              <w:rPr>
                <w:rFonts w:ascii="Times New Roman;serif" w:hAnsi="Times New Roman;serif"/>
                <w:b w:val="false"/>
                <w:color w:val="000000"/>
                <w:sz w:val="18"/>
              </w:rPr>
              <w:t>Tax effect of loss on debt extinguishment and expensed financing costs</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(743)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(2,993)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CFF0FC"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18"/>
              </w:rPr>
            </w:pPr>
            <w:r>
              <w:rPr>
                <w:rFonts w:ascii="Times New Roman;serif" w:hAnsi="Times New Roman;serif"/>
                <w:b w:val="false"/>
                <w:color w:val="000000"/>
                <w:sz w:val="18"/>
              </w:rPr>
              <w:t>Reassessment of valuation allowance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59,630 </w:t>
            </w:r>
          </w:p>
        </w:tc>
        <w:tc>
          <w:tcPr>
            <w:tcW w:w="1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FF0FC" w:val="clear"/>
            <w:tcMar>
              <w:top w:w="0" w:type="dxa"/>
              <w:left w:w="0" w:type="dxa"/>
              <w:bottom w:w="0" w:type="dxa"/>
              <w:right w:w="0" w:type="dxa"/>
            </w:tcMar>
            <w:vAlign w:val="center"/>
          </w:tcPr>
          <w:p>
            <w:pPr>
              <w:pStyle w:val="TableContents"/>
              <w:bidi w:val="0"/>
              <w:spacing w:lineRule="auto" w:line="273" w:before="0" w:after="2"/>
              <w:jc w:val="right"/>
              <w:rPr>
                <w:color w:val="000000"/>
              </w:rPr>
            </w:pPr>
            <w:r>
              <w:rPr>
                <w:color w:val="000000"/>
              </w:rPr>
              <w:t>— </w:t>
            </w:r>
          </w:p>
        </w:tc>
        <w:tc>
          <w:tcPr>
            <w:tcW w:w="1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59,630 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FF0FC" w:val="clear"/>
            <w:tcMar>
              <w:top w:w="0" w:type="dxa"/>
              <w:left w:w="0" w:type="dxa"/>
              <w:bottom w:w="0" w:type="dxa"/>
              <w:right w:w="0" w:type="dxa"/>
            </w:tcMar>
            <w:vAlign w:val="center"/>
          </w:tcPr>
          <w:p>
            <w:pPr>
              <w:pStyle w:val="TableContents"/>
              <w:bidi w:val="0"/>
              <w:spacing w:lineRule="auto" w:line="273" w:before="0" w:after="2"/>
              <w:jc w:val="right"/>
              <w:rPr>
                <w:color w:val="000000"/>
              </w:rPr>
            </w:pPr>
            <w:r>
              <w:rPr>
                <w:color w:val="000000"/>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18"/>
              </w:rPr>
            </w:pPr>
            <w:r>
              <w:rPr>
                <w:rFonts w:ascii="Times New Roman;serif" w:hAnsi="Times New Roman;serif"/>
                <w:b w:val="false"/>
                <w:color w:val="000000"/>
                <w:sz w:val="18"/>
              </w:rPr>
              <w:t>Adjusted 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(20,884)</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19,143 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(27,406)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(39,136)</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18"/>
              </w:rPr>
            </w:pPr>
            <w:r>
              <w:rPr>
                <w:rFonts w:ascii="Times New Roman;serif" w:hAnsi="Times New Roman;serif"/>
                <w:b w:val="false"/>
                <w:color w:val="000000"/>
                <w:sz w:val="18"/>
              </w:rPr>
              <w:t xml:space="preserve">Earnings per share: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CFF0FC"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18"/>
              </w:rPr>
            </w:pPr>
            <w:r>
              <w:rPr>
                <w:rFonts w:ascii="Times New Roman;serif" w:hAnsi="Times New Roman;serif"/>
                <w:b w:val="false"/>
                <w:color w:val="000000"/>
                <w:sz w:val="18"/>
              </w:rPr>
              <w:t xml:space="preserve">Diluted earnings per share </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(0.21)</w:t>
            </w:r>
          </w:p>
        </w:tc>
        <w:tc>
          <w:tcPr>
            <w:tcW w:w="1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1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(0.22)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(0.33)</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18"/>
              </w:rPr>
            </w:pPr>
            <w:r>
              <w:rPr>
                <w:rFonts w:ascii="Times New Roman;serif" w:hAnsi="Times New Roman;serif"/>
                <w:b w:val="false"/>
                <w:color w:val="000000"/>
                <w:sz w:val="18"/>
              </w:rPr>
              <w:t xml:space="preserve">Adjusted diluted earnings per share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(0.09)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18"/>
              </w:rPr>
            </w:pPr>
            <w:r>
              <w:rPr>
                <w:rFonts w:ascii="Times New Roman;serif" w:hAnsi="Times New Roman;serif"/>
                <w:b w:val="false"/>
                <w:color w:val="000000"/>
                <w:sz w:val="18"/>
              </w:rPr>
              <w:t>Weighted average diluted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419,598,181 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413,741,878 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418,574,308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8"/>
              </w:rPr>
            </w:pPr>
            <w:r>
              <w:rPr>
                <w:rFonts w:ascii="Times New Roman;serif" w:hAnsi="Times New Roman;serif"/>
                <w:b w:val="false"/>
                <w:color w:val="000000"/>
                <w:sz w:val="18"/>
              </w:rPr>
              <w:t>413,110,883</w:t>
            </w:r>
          </w:p>
        </w:tc>
      </w:tr>
    </w:tbl>
    <w:p>
      <w:pPr>
        <w:pStyle w:val="TextBody"/>
        <w:bidi w:val="0"/>
        <w:spacing w:lineRule="auto" w:line="288" w:before="240" w:after="2"/>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 Statutory tax rates used to calculate the tax effect of the adjustments.</w:t>
      </w:r>
    </w:p>
    <w:p>
      <w:pPr>
        <w:pStyle w:val="TextBody"/>
        <w:bidi w:val="0"/>
        <w:spacing w:before="0" w:after="2"/>
        <w:jc w:val="both"/>
        <w:rPr/>
      </w:pPr>
      <w:r>
        <w:rPr/>
      </w:r>
    </w:p>
    <w:p>
      <w:pPr>
        <w:pStyle w:val="TextBody"/>
        <w:bidi w:val="0"/>
        <w:spacing w:lineRule="auto" w:line="300" w:before="0" w:after="2"/>
        <w:jc w:val="both"/>
        <w:rPr>
          <w:rFonts w:ascii="Times New Roman;serif" w:hAnsi="Times New Roman;serif"/>
          <w:b/>
          <w:color w:val="080808"/>
          <w:sz w:val="22"/>
        </w:rPr>
      </w:pPr>
      <w:r>
        <w:rPr>
          <w:rFonts w:ascii="Times New Roman;serif" w:hAnsi="Times New Roman;serif"/>
          <w:b/>
          <w:color w:val="080808"/>
          <w:sz w:val="22"/>
        </w:rPr>
        <w:t>Reconciliation of Free Cash Flow</w:t>
      </w:r>
    </w:p>
    <w:p>
      <w:pPr>
        <w:pStyle w:val="TextBody"/>
        <w:bidi w:val="0"/>
        <w:spacing w:before="0" w:after="2"/>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Free cash flow is a non-GAAP financial measure that we use to provide a more meaningful comparison of operating results from period to period. The following table reconciles net cash used in operating activities, the most directly comparable GAAP measure, to free cash flow for the periods presented:</w:t>
      </w:r>
    </w:p>
    <w:p>
      <w:pPr>
        <w:pStyle w:val="TextBody"/>
        <w:bidi w:val="0"/>
        <w:spacing w:before="0" w:after="0"/>
        <w:jc w:val="both"/>
        <w:rPr/>
      </w:pPr>
      <w:r>
        <w:rPr/>
      </w:r>
    </w:p>
    <w:tbl>
      <w:tblPr>
        <w:tblW w:w="8773" w:type="dxa"/>
        <w:jc w:val="left"/>
        <w:tblInd w:w="0" w:type="dxa"/>
        <w:tblLayout w:type="fixed"/>
        <w:tblCellMar>
          <w:top w:w="28" w:type="dxa"/>
          <w:left w:w="28" w:type="dxa"/>
          <w:bottom w:w="28" w:type="dxa"/>
          <w:right w:w="28" w:type="dxa"/>
        </w:tblCellMar>
      </w:tblPr>
      <w:tblGrid>
        <w:gridCol w:w="1087"/>
        <w:gridCol w:w="954"/>
        <w:gridCol w:w="959"/>
        <w:gridCol w:w="109"/>
        <w:gridCol w:w="109"/>
        <w:gridCol w:w="109"/>
        <w:gridCol w:w="201"/>
        <w:gridCol w:w="833"/>
        <w:gridCol w:w="112"/>
        <w:gridCol w:w="112"/>
        <w:gridCol w:w="112"/>
        <w:gridCol w:w="112"/>
        <w:gridCol w:w="201"/>
        <w:gridCol w:w="648"/>
        <w:gridCol w:w="112"/>
        <w:gridCol w:w="109"/>
        <w:gridCol w:w="109"/>
        <w:gridCol w:w="109"/>
        <w:gridCol w:w="196"/>
        <w:gridCol w:w="721"/>
        <w:gridCol w:w="109"/>
        <w:gridCol w:w="109"/>
        <w:gridCol w:w="109"/>
        <w:gridCol w:w="109"/>
        <w:gridCol w:w="196"/>
        <w:gridCol w:w="646"/>
        <w:gridCol w:w="109"/>
        <w:gridCol w:w="109"/>
        <w:gridCol w:w="109"/>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(108,726)</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6,546 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(68,694)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Acquisition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(13,836)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(16,111)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(29,899)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(31,817)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(122,562)</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6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(9,565)</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(98,593)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(9,887)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
        <w:jc w:val="center"/>
        <w:rPr/>
      </w:pPr>
      <w:r>
        <w:rPr/>
      </w:r>
    </w:p>
    <w:p>
      <w:pPr>
        <w:pStyle w:val="TextBody"/>
        <w:bidi w:val="0"/>
        <w:spacing w:before="0" w:after="16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
        <w:jc w:val="both"/>
        <w:rPr/>
      </w:pPr>
      <w:r>
        <w:rPr/>
      </w:r>
    </w:p>
    <w:p>
      <w:pPr>
        <w:pStyle w:val="TextBody"/>
        <w:bidi w:val="0"/>
        <w:spacing w:lineRule="auto" w:line="300" w:before="0" w:after="2"/>
        <w:jc w:val="both"/>
        <w:rPr>
          <w:rFonts w:ascii="Times New Roman;serif" w:hAnsi="Times New Roman;serif"/>
          <w:b/>
          <w:color w:val="080808"/>
          <w:sz w:val="22"/>
          <w:shd w:fill="FFFFFF" w:val="clear"/>
        </w:rPr>
      </w:pPr>
      <w:r>
        <w:rPr>
          <w:rFonts w:ascii="Times New Roman;serif" w:hAnsi="Times New Roman;serif"/>
          <w:b/>
          <w:color w:val="080808"/>
          <w:sz w:val="22"/>
          <w:shd w:fill="FFFFFF" w:val="clear"/>
        </w:rPr>
        <w:t>OTHER FINANCIAL DATA</w:t>
      </w:r>
    </w:p>
    <w:p>
      <w:pPr>
        <w:pStyle w:val="TextBody"/>
        <w:bidi w:val="0"/>
        <w:spacing w:before="0" w:after="2"/>
        <w:jc w:val="both"/>
        <w:rPr/>
      </w:pPr>
      <w:r>
        <w:rPr/>
      </w:r>
    </w:p>
    <w:p>
      <w:pPr>
        <w:pStyle w:val="TextBody"/>
        <w:bidi w:val="0"/>
        <w:spacing w:lineRule="auto" w:line="300" w:before="0" w:after="2"/>
        <w:jc w:val="both"/>
        <w:rPr>
          <w:rFonts w:ascii="Times New Roman;serif" w:hAnsi="Times New Roman;serif"/>
          <w:b/>
          <w:color w:val="080808"/>
          <w:sz w:val="22"/>
          <w:shd w:fill="FFFFFF" w:val="clear"/>
        </w:rPr>
      </w:pPr>
      <w:r>
        <w:rPr>
          <w:rFonts w:ascii="Times New Roman;serif" w:hAnsi="Times New Roman;serif"/>
          <w:b/>
          <w:color w:val="080808"/>
          <w:sz w:val="22"/>
          <w:shd w:fill="FFFFFF" w:val="clear"/>
        </w:rPr>
        <w:t>Revenue by Product</w:t>
      </w:r>
    </w:p>
    <w:tbl>
      <w:tblPr>
        <w:tblW w:w="10205" w:type="dxa"/>
        <w:jc w:val="left"/>
        <w:tblInd w:w="0" w:type="dxa"/>
        <w:tblLayout w:type="fixed"/>
        <w:tblCellMar>
          <w:top w:w="28" w:type="dxa"/>
          <w:left w:w="28" w:type="dxa"/>
          <w:bottom w:w="28" w:type="dxa"/>
          <w:right w:w="28" w:type="dxa"/>
        </w:tblCellMar>
      </w:tblPr>
      <w:tblGrid>
        <w:gridCol w:w="413"/>
        <w:gridCol w:w="363"/>
        <w:gridCol w:w="366"/>
        <w:gridCol w:w="109"/>
        <w:gridCol w:w="109"/>
        <w:gridCol w:w="109"/>
        <w:gridCol w:w="196"/>
        <w:gridCol w:w="736"/>
        <w:gridCol w:w="109"/>
        <w:gridCol w:w="109"/>
        <w:gridCol w:w="109"/>
        <w:gridCol w:w="109"/>
        <w:gridCol w:w="304"/>
        <w:gridCol w:w="252"/>
        <w:gridCol w:w="382"/>
        <w:gridCol w:w="109"/>
        <w:gridCol w:w="109"/>
        <w:gridCol w:w="109"/>
        <w:gridCol w:w="196"/>
        <w:gridCol w:w="736"/>
        <w:gridCol w:w="109"/>
        <w:gridCol w:w="109"/>
        <w:gridCol w:w="109"/>
        <w:gridCol w:w="109"/>
        <w:gridCol w:w="304"/>
        <w:gridCol w:w="252"/>
        <w:gridCol w:w="382"/>
        <w:gridCol w:w="109"/>
        <w:gridCol w:w="109"/>
        <w:gridCol w:w="109"/>
        <w:gridCol w:w="196"/>
        <w:gridCol w:w="578"/>
        <w:gridCol w:w="109"/>
        <w:gridCol w:w="109"/>
        <w:gridCol w:w="109"/>
        <w:gridCol w:w="109"/>
        <w:gridCol w:w="243"/>
        <w:gridCol w:w="244"/>
        <w:gridCol w:w="434"/>
        <w:gridCol w:w="109"/>
        <w:gridCol w:w="109"/>
        <w:gridCol w:w="109"/>
        <w:gridCol w:w="262"/>
        <w:gridCol w:w="225"/>
        <w:gridCol w:w="525"/>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r>
      <w:tr>
        <w:trPr/>
        <w:tc>
          <w:tcPr>
            <w:tcW w:w="1142" w:type="dxa"/>
            <w:gridSpan w:val="3"/>
            <w:tcBorders/>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i/>
                <w:color w:val="000000"/>
                <w:sz w:val="16"/>
              </w:rPr>
            </w:pPr>
            <w:r>
              <w:rPr>
                <w:rFonts w:ascii="Times New Roman;serif" w:hAnsi="Times New Roman;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9"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0"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
              <w:jc w:val="center"/>
              <w:rPr/>
            </w:pPr>
            <w:r>
              <w:rPr>
                <w:rFonts w:ascii="Times New Roman;serif" w:hAnsi="Times New Roman;serif"/>
                <w:b/>
                <w:color w:val="000000"/>
                <w:sz w:val="16"/>
              </w:rPr>
              <w:t>CN % change</w:t>
            </w:r>
            <w:r>
              <w:rPr>
                <w:color w:val="000000"/>
              </w:rPr>
              <w:t xml:space="preserve"> </w:t>
            </w:r>
          </w:p>
        </w:tc>
      </w:tr>
      <w:tr>
        <w:trPr/>
        <w:tc>
          <w:tcPr>
            <w:tcW w:w="1142"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color w:val="000000"/>
                <w:sz w:val="16"/>
              </w:rPr>
            </w:pPr>
            <w:r>
              <w:rPr>
                <w:rFonts w:ascii="Times New Roman;serif" w:hAnsi="Times New Roman;serif"/>
                <w:b/>
                <w:color w:val="000000"/>
                <w:sz w:val="16"/>
              </w:rPr>
              <w:t>Creative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127,392 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55.6 </w:t>
            </w:r>
          </w:p>
        </w:tc>
        <w:tc>
          <w:tcPr>
            <w:tcW w:w="38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130,824 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55.7 </w:t>
            </w:r>
          </w:p>
        </w:tc>
        <w:tc>
          <w:tcPr>
            <w:tcW w:w="38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(3,432)</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43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52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42"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color w:val="000000"/>
                <w:sz w:val="16"/>
              </w:rPr>
            </w:pPr>
            <w:r>
              <w:rPr>
                <w:rFonts w:ascii="Times New Roman;serif" w:hAnsi="Times New Roman;serif"/>
                <w:b/>
                <w:color w:val="000000"/>
                <w:sz w:val="16"/>
              </w:rPr>
              <w:t>Editorial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96,468 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42.1 </w:t>
            </w:r>
          </w:p>
        </w:tc>
        <w:tc>
          <w:tcPr>
            <w:tcW w:w="382" w:type="dxa"/>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88,342 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37.6 </w:t>
            </w:r>
          </w:p>
        </w:tc>
        <w:tc>
          <w:tcPr>
            <w:tcW w:w="382" w:type="dxa"/>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8,126 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434" w:type="dxa"/>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525" w:type="dxa"/>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42" w:type="dxa"/>
            <w:gridSpan w:val="3"/>
            <w:tcBorders/>
            <w:shd w:fill="CFF0FC"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5,238 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382" w:type="dxa"/>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15,716 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382" w:type="dxa"/>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(10,478)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(66.7)</w:t>
            </w:r>
          </w:p>
        </w:tc>
        <w:tc>
          <w:tcPr>
            <w:tcW w:w="434" w:type="dxa"/>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(67.2)</w:t>
            </w:r>
          </w:p>
        </w:tc>
        <w:tc>
          <w:tcPr>
            <w:tcW w:w="525" w:type="dxa"/>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42"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color w:val="000000"/>
                <w:sz w:val="16"/>
              </w:rPr>
            </w:pPr>
            <w:r>
              <w:rPr>
                <w:rFonts w:ascii="Times New Roman;serif" w:hAnsi="Times New Roman;serif"/>
                <w:b/>
                <w:color w:val="000000"/>
                <w:sz w:val="16"/>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229,098 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3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234,882 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3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(5,784)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05" w:type="dxa"/>
            <w:gridSpan w:val="45"/>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13"/>
        <w:gridCol w:w="363"/>
        <w:gridCol w:w="366"/>
        <w:gridCol w:w="109"/>
        <w:gridCol w:w="109"/>
        <w:gridCol w:w="109"/>
        <w:gridCol w:w="196"/>
        <w:gridCol w:w="736"/>
        <w:gridCol w:w="109"/>
        <w:gridCol w:w="109"/>
        <w:gridCol w:w="109"/>
        <w:gridCol w:w="109"/>
        <w:gridCol w:w="304"/>
        <w:gridCol w:w="252"/>
        <w:gridCol w:w="382"/>
        <w:gridCol w:w="109"/>
        <w:gridCol w:w="109"/>
        <w:gridCol w:w="109"/>
        <w:gridCol w:w="196"/>
        <w:gridCol w:w="736"/>
        <w:gridCol w:w="109"/>
        <w:gridCol w:w="109"/>
        <w:gridCol w:w="109"/>
        <w:gridCol w:w="109"/>
        <w:gridCol w:w="304"/>
        <w:gridCol w:w="252"/>
        <w:gridCol w:w="382"/>
        <w:gridCol w:w="109"/>
        <w:gridCol w:w="109"/>
        <w:gridCol w:w="109"/>
        <w:gridCol w:w="196"/>
        <w:gridCol w:w="578"/>
        <w:gridCol w:w="109"/>
        <w:gridCol w:w="109"/>
        <w:gridCol w:w="109"/>
        <w:gridCol w:w="109"/>
        <w:gridCol w:w="243"/>
        <w:gridCol w:w="244"/>
        <w:gridCol w:w="434"/>
        <w:gridCol w:w="109"/>
        <w:gridCol w:w="109"/>
        <w:gridCol w:w="109"/>
        <w:gridCol w:w="262"/>
        <w:gridCol w:w="225"/>
        <w:gridCol w:w="525"/>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r>
      <w:tr>
        <w:trPr/>
        <w:tc>
          <w:tcPr>
            <w:tcW w:w="1142" w:type="dxa"/>
            <w:gridSpan w:val="3"/>
            <w:tcBorders/>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9"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0" w:type="dxa"/>
            <w:gridSpan w:val="15"/>
            <w:tcBorders/>
            <w:tcMar>
              <w:top w:w="0" w:type="dxa"/>
              <w:left w:w="0" w:type="dxa"/>
              <w:bottom w:w="0" w:type="dxa"/>
              <w:right w:w="0" w:type="dxa"/>
            </w:tcMar>
            <w:vAlign w:val="center"/>
          </w:tcPr>
          <w:p>
            <w:pPr>
              <w:pStyle w:val="TableContents"/>
              <w:bidi w:val="0"/>
              <w:spacing w:lineRule="auto" w:line="276" w:before="0" w:after="2"/>
              <w:jc w:val="center"/>
              <w:rPr/>
            </w:pPr>
            <w:r>
              <w:rPr>
                <w:rFonts w:ascii="Times New Roman;serif" w:hAnsi="Times New Roman;serif"/>
                <w:b/>
                <w:color w:val="000000"/>
                <w:sz w:val="16"/>
              </w:rPr>
              <w:t>increase / (decrease)</w:t>
            </w:r>
            <w:r>
              <w:rPr>
                <w:color w:val="000000"/>
              </w:rPr>
              <w:t xml:space="preserve"> </w:t>
            </w:r>
          </w:p>
        </w:tc>
      </w:tr>
      <w:tr>
        <w:trPr/>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
              <w:jc w:val="center"/>
              <w:rPr/>
            </w:pPr>
            <w:r>
              <w:rPr>
                <w:rFonts w:ascii="Times New Roman;serif" w:hAnsi="Times New Roman;serif"/>
                <w:b/>
                <w:color w:val="000000"/>
                <w:sz w:val="16"/>
              </w:rPr>
              <w:t>CN % change</w:t>
            </w:r>
            <w:r>
              <w:rPr>
                <w:color w:val="000000"/>
              </w:rPr>
              <w:t xml:space="preserve"> </w:t>
            </w:r>
          </w:p>
        </w:tc>
      </w:tr>
      <w:tr>
        <w:trPr/>
        <w:tc>
          <w:tcPr>
            <w:tcW w:w="1142"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color w:val="000000"/>
                <w:sz w:val="16"/>
              </w:rPr>
            </w:pPr>
            <w:r>
              <w:rPr>
                <w:rFonts w:ascii="Times New Roman;serif" w:hAnsi="Times New Roman;serif"/>
                <w:b/>
                <w:color w:val="000000"/>
                <w:sz w:val="16"/>
              </w:rPr>
              <w:t>Creative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253,642 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55.7 </w:t>
            </w:r>
          </w:p>
        </w:tc>
        <w:tc>
          <w:tcPr>
            <w:tcW w:w="38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262,998 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57.3 </w:t>
            </w:r>
          </w:p>
        </w:tc>
        <w:tc>
          <w:tcPr>
            <w:tcW w:w="38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(9,356)</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43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52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42"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color w:val="000000"/>
                <w:sz w:val="16"/>
              </w:rPr>
            </w:pPr>
            <w:r>
              <w:rPr>
                <w:rFonts w:ascii="Times New Roman;serif" w:hAnsi="Times New Roman;serif"/>
                <w:b/>
                <w:color w:val="000000"/>
                <w:sz w:val="16"/>
              </w:rPr>
              <w:t>Editorial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188,158 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41.3 </w:t>
            </w:r>
          </w:p>
        </w:tc>
        <w:tc>
          <w:tcPr>
            <w:tcW w:w="382" w:type="dxa"/>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170,959 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37.2 </w:t>
            </w:r>
          </w:p>
        </w:tc>
        <w:tc>
          <w:tcPr>
            <w:tcW w:w="382" w:type="dxa"/>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17,199 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434" w:type="dxa"/>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525" w:type="dxa"/>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42" w:type="dxa"/>
            <w:gridSpan w:val="3"/>
            <w:tcBorders/>
            <w:shd w:fill="CFF0FC"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13,871 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382" w:type="dxa"/>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25,002 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382" w:type="dxa"/>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(11,131)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(44.5)</w:t>
            </w:r>
          </w:p>
        </w:tc>
        <w:tc>
          <w:tcPr>
            <w:tcW w:w="434" w:type="dxa"/>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(45.4)</w:t>
            </w:r>
          </w:p>
        </w:tc>
        <w:tc>
          <w:tcPr>
            <w:tcW w:w="525" w:type="dxa"/>
            <w:tcBorders/>
            <w:shd w:fill="CFF0FC"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42"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color w:val="000000"/>
                <w:sz w:val="16"/>
              </w:rPr>
            </w:pPr>
            <w:r>
              <w:rPr>
                <w:rFonts w:ascii="Times New Roman;serif" w:hAnsi="Times New Roman;serif"/>
                <w:b/>
                <w:color w:val="000000"/>
                <w:sz w:val="16"/>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455,671 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3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458,959 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3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(3,288)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05" w:type="dxa"/>
            <w:gridSpan w:val="45"/>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both"/>
        <w:rPr/>
      </w:pPr>
      <w:r>
        <w:rPr/>
      </w:r>
    </w:p>
    <w:p>
      <w:pPr>
        <w:pStyle w:val="TextBody"/>
        <w:bidi w:val="0"/>
        <w:spacing w:lineRule="auto" w:line="300" w:before="0" w:after="2"/>
        <w:jc w:val="both"/>
        <w:rPr>
          <w:rFonts w:ascii="Times New Roman;serif" w:hAnsi="Times New Roman;serif"/>
          <w:b/>
          <w:color w:val="080808"/>
          <w:sz w:val="22"/>
        </w:rPr>
      </w:pPr>
      <w:r>
        <w:rPr>
          <w:rFonts w:ascii="Times New Roman;serif" w:hAnsi="Times New Roman;serif"/>
          <w:b/>
          <w:color w:val="080808"/>
          <w:sz w:val="22"/>
        </w:rPr>
        <w:t>Balance Sheet &amp; Liquidity</w:t>
      </w:r>
    </w:p>
    <w:tbl>
      <w:tblPr>
        <w:tblW w:w="8015" w:type="dxa"/>
        <w:jc w:val="left"/>
        <w:tblInd w:w="0" w:type="dxa"/>
        <w:tblLayout w:type="fixed"/>
        <w:tblCellMar>
          <w:top w:w="28" w:type="dxa"/>
          <w:left w:w="28" w:type="dxa"/>
          <w:bottom w:w="28" w:type="dxa"/>
          <w:right w:w="28" w:type="dxa"/>
        </w:tblCellMar>
      </w:tblPr>
      <w:tblGrid>
        <w:gridCol w:w="1135"/>
        <w:gridCol w:w="993"/>
        <w:gridCol w:w="1006"/>
        <w:gridCol w:w="109"/>
        <w:gridCol w:w="109"/>
        <w:gridCol w:w="109"/>
        <w:gridCol w:w="227"/>
        <w:gridCol w:w="802"/>
        <w:gridCol w:w="126"/>
        <w:gridCol w:w="109"/>
        <w:gridCol w:w="109"/>
        <w:gridCol w:w="109"/>
        <w:gridCol w:w="304"/>
        <w:gridCol w:w="1072"/>
        <w:gridCol w:w="169"/>
        <w:gridCol w:w="109"/>
        <w:gridCol w:w="109"/>
        <w:gridCol w:w="109"/>
        <w:gridCol w:w="226"/>
        <w:gridCol w:w="797"/>
        <w:gridCol w:w="177"/>
      </w:tblGrid>
      <w:tr>
        <w:trPr/>
        <w:tc>
          <w:tcPr>
            <w:tcW w:w="1135"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31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Cash &amp; Cash Equivalents</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51.6 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90.2 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110.3 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Available under Revolving Credit Facility</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Liquidity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81.6 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240.2 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260.3 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2025 USD Term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2025 EUR Term Loans</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470.5 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497.2 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510.2 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Balance - Term Loans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510.6 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537.3 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550.3 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270.0 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300.0 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300.0 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Senior 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1,168.3 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1,168.3 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539.9 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Total Debt</w:t>
            </w:r>
            <w:r>
              <w:rPr>
                <w:rFonts w:ascii="Times New Roman;serif" w:hAnsi="Times New Roman;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2,068.9 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2,005.6 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1,390.2 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both"/>
        <w:rPr/>
      </w:pPr>
      <w:r>
        <w:rPr/>
      </w:r>
    </w:p>
    <w:p>
      <w:pPr>
        <w:pStyle w:val="TextBody"/>
        <w:bidi w:val="0"/>
        <w:spacing w:lineRule="auto" w:line="300" w:before="0" w:after="2"/>
        <w:jc w:val="both"/>
        <w:rPr/>
      </w:pPr>
      <w:r>
        <w:rPr>
          <w:rFonts w:ascii="Times New Roman;serif" w:hAnsi="Times New Roman;serif"/>
          <w:b w:val="false"/>
          <w:i/>
          <w:color w:val="000000"/>
          <w:sz w:val="10"/>
        </w:rPr>
        <w:t>1</w:t>
      </w:r>
      <w:r>
        <w:rPr>
          <w:color w:val="000000"/>
        </w:rPr>
        <w:t xml:space="preserve"> </w:t>
      </w:r>
      <w:r>
        <w:rPr>
          <w:rFonts w:ascii="Times New Roman;serif" w:hAnsi="Times New Roman;serif"/>
          <w:b w:val="false"/>
          <w:i/>
          <w:color w:val="000000"/>
          <w:sz w:val="16"/>
        </w:rPr>
        <w:t>Excludes restricted cash of $646.3 million as of June 30, 2026, $635.1 million as of December 31, 2025 and $4.1 million as of June 30, 2025.</w:t>
      </w:r>
    </w:p>
    <w:p>
      <w:pPr>
        <w:pStyle w:val="TextBody"/>
        <w:bidi w:val="0"/>
        <w:spacing w:lineRule="auto" w:line="300" w:before="0" w:after="2"/>
        <w:jc w:val="both"/>
        <w:rPr/>
      </w:pPr>
      <w:r>
        <w:rPr>
          <w:rFonts w:ascii="Times New Roman;serif" w:hAnsi="Times New Roman;serif"/>
          <w:b w:val="false"/>
          <w:i/>
          <w:color w:val="000000"/>
          <w:sz w:val="10"/>
        </w:rPr>
        <w:t>2</w:t>
      </w:r>
      <w:r>
        <w:rPr>
          <w:color w:val="000000"/>
        </w:rPr>
        <w:t xml:space="preserve"> </w:t>
      </w:r>
      <w:r>
        <w:rPr>
          <w:rFonts w:ascii="Times New Roman;serif" w:hAnsi="Times New Roman;serif"/>
          <w:b w:val="false"/>
          <w:i/>
          <w:color w:val="000000"/>
          <w:sz w:val="16"/>
        </w:rPr>
        <w:t>Our Revolving Credit Facility was effective May, 2023 and matures May, 2028.</w:t>
      </w:r>
    </w:p>
    <w:p>
      <w:pPr>
        <w:pStyle w:val="TextBody"/>
        <w:bidi w:val="0"/>
        <w:spacing w:lineRule="auto" w:line="300" w:before="0" w:after="2"/>
        <w:ind w:left="0" w:right="0" w:hanging="90"/>
        <w:jc w:val="both"/>
        <w:rPr/>
      </w:pPr>
      <w:r>
        <w:rPr>
          <w:rFonts w:ascii="Times New Roman;serif" w:hAnsi="Times New Roman;serif"/>
          <w:b w:val="false"/>
          <w:i/>
          <w:color w:val="000000"/>
          <w:sz w:val="10"/>
        </w:rPr>
        <w:t>3</w:t>
      </w:r>
      <w:r>
        <w:rPr>
          <w:color w:val="000000"/>
        </w:rPr>
        <w:t xml:space="preserve"> </w:t>
      </w:r>
      <w:r>
        <w:rPr>
          <w:rFonts w:ascii="Times New Roman;serif" w:hAnsi="Times New Roman;serif"/>
          <w:b w:val="false"/>
          <w:i/>
          <w:color w:val="000000"/>
          <w:sz w:val="16"/>
        </w:rPr>
        <w:t>Face Value of Debt is €412.5 million as of June 30, 2026 converted using FX spot rate of 1.14, €423.5 million as of December 31, 2025 converted using FX spot rate of 1.17, and €440.0 million as of June 30, 2025 converted using the FX spot rate 1.17.</w:t>
      </w:r>
    </w:p>
    <w:p>
      <w:pPr>
        <w:pStyle w:val="TextBody"/>
        <w:bidi w:val="0"/>
        <w:spacing w:lineRule="auto" w:line="300" w:before="0" w:after="2"/>
        <w:jc w:val="both"/>
        <w:rPr/>
      </w:pPr>
      <w:r>
        <w:rPr>
          <w:rFonts w:ascii="Times New Roman;serif" w:hAnsi="Times New Roman;serif"/>
          <w:b w:val="false"/>
          <w:i/>
          <w:color w:val="000000"/>
          <w:sz w:val="10"/>
        </w:rPr>
        <w:t>4</w:t>
      </w:r>
      <w:r>
        <w:rPr>
          <w:color w:val="000000"/>
        </w:rPr>
        <w:t xml:space="preserve"> </w:t>
      </w:r>
      <w:r>
        <w:rPr>
          <w:rFonts w:ascii="Times New Roman;serif" w:hAnsi="Times New Roman;serif"/>
          <w:b w:val="false"/>
          <w:i/>
          <w:color w:val="000000"/>
          <w:sz w:val="16"/>
        </w:rPr>
        <w:t>Represents face value of debt, not GAAP carrying value.</w:t>
      </w:r>
    </w:p>
    <w:p>
      <w:pPr>
        <w:pStyle w:val="TextBody"/>
        <w:bidi w:val="0"/>
        <w:spacing w:before="0" w:after="2"/>
        <w:jc w:val="both"/>
        <w:rPr/>
      </w:pPr>
      <w:r>
        <w:rPr/>
      </w:r>
    </w:p>
    <w:p>
      <w:pPr>
        <w:pStyle w:val="TextBody"/>
        <w:bidi w:val="0"/>
        <w:spacing w:lineRule="auto" w:line="300" w:before="0" w:after="2"/>
        <w:jc w:val="both"/>
        <w:rPr>
          <w:rFonts w:ascii="Times New Roman;serif" w:hAnsi="Times New Roman;serif"/>
          <w:b/>
          <w:color w:val="000000"/>
          <w:sz w:val="20"/>
        </w:rPr>
      </w:pPr>
      <w:r>
        <w:rPr>
          <w:rFonts w:ascii="Times New Roman;serif" w:hAnsi="Times New Roman;serif"/>
          <w:b/>
          <w:color w:val="000000"/>
          <w:sz w:val="20"/>
        </w:rPr>
        <w:t>Investor Contact:</w:t>
      </w:r>
    </w:p>
    <w:p>
      <w:pPr>
        <w:pStyle w:val="TextBody"/>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Getty Images</w:t>
      </w:r>
    </w:p>
    <w:p>
      <w:pPr>
        <w:pStyle w:val="TextBody"/>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Steven Kanner</w:t>
      </w:r>
    </w:p>
    <w:p>
      <w:pPr>
        <w:pStyle w:val="TextBody"/>
        <w:bidi w:val="0"/>
        <w:spacing w:lineRule="auto" w:line="300" w:before="0" w:after="2"/>
        <w:jc w:val="both"/>
        <w:rPr>
          <w:rFonts w:ascii="Times New Roman;serif" w:hAnsi="Times New Roman;serif"/>
          <w:b w:val="false"/>
          <w:color w:val="0563C1"/>
          <w:sz w:val="20"/>
          <w:u w:val="single"/>
        </w:rPr>
      </w:pPr>
      <w:r>
        <w:rPr>
          <w:rFonts w:ascii="Times New Roman;serif" w:hAnsi="Times New Roman;serif"/>
          <w:b w:val="false"/>
          <w:color w:val="0563C1"/>
          <w:sz w:val="20"/>
          <w:u w:val="single"/>
        </w:rPr>
        <w:t>Investorrelations@gettyimages.com</w:t>
      </w:r>
    </w:p>
    <w:p>
      <w:pPr>
        <w:pStyle w:val="TextBody"/>
        <w:bidi w:val="0"/>
        <w:spacing w:before="0" w:after="2"/>
        <w:jc w:val="both"/>
        <w:rPr/>
      </w:pPr>
      <w:r>
        <w:rPr/>
      </w:r>
    </w:p>
    <w:p>
      <w:pPr>
        <w:pStyle w:val="TextBody"/>
        <w:bidi w:val="0"/>
        <w:spacing w:lineRule="auto" w:line="300" w:before="0" w:after="2"/>
        <w:jc w:val="both"/>
        <w:rPr>
          <w:rFonts w:ascii="Times New Roman;serif" w:hAnsi="Times New Roman;serif"/>
          <w:b/>
          <w:color w:val="000000"/>
          <w:sz w:val="20"/>
        </w:rPr>
      </w:pPr>
      <w:r>
        <w:rPr>
          <w:rFonts w:ascii="Times New Roman;serif" w:hAnsi="Times New Roman;serif"/>
          <w:b/>
          <w:color w:val="000000"/>
          <w:sz w:val="20"/>
        </w:rPr>
        <w:t>Media Contact:</w:t>
      </w:r>
    </w:p>
    <w:p>
      <w:pPr>
        <w:pStyle w:val="TextBody"/>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Getty Images</w:t>
      </w:r>
    </w:p>
    <w:p>
      <w:pPr>
        <w:pStyle w:val="TextBody"/>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 xml:space="preserve">Anne Flanagan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00" w:before="0" w:after="2"/>
        <w:jc w:val="both"/>
        <w:rPr/>
      </w:pPr>
      <w:r>
        <w:rPr>
          <w:rFonts w:ascii="Times New Roman;serif" w:hAnsi="Times New Roman;serif"/>
          <w:b w:val="false"/>
          <w:color w:val="0563C1"/>
          <w:sz w:val="20"/>
          <w:u w:val="single"/>
        </w:rPr>
        <w:t>Anne.flanagan@gettyimages.com</w:t>
      </w:r>
      <w:r>
        <w:rPr>
          <w:color w:val="000000"/>
        </w:rPr>
        <w:t xml:space="preserve"> </w:t>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5790</Words>
  <Characters>32361</Characters>
  <CharactersWithSpaces>37552</CharactersWithSpaces>
  <Paragraphs>1012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