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21801-8k_getty.htm"/>
      <w:bookmarkStart w:id="1" w:name="ksea0297218018k_getty"/>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70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Getty Images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B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1_edei--EntityFileNumber_c20260707"/>
            <w:bookmarkEnd w:id="6"/>
            <w:r>
              <w:rPr>
                <w:b/>
                <w:sz w:val="20"/>
              </w:rPr>
              <w:t>001-41453</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A_edei--EntityTaxIdentificationNum"/>
            <w:bookmarkEnd w:id="7"/>
            <w:r>
              <w:rPr>
                <w:b/>
                <w:sz w:val="20"/>
              </w:rPr>
              <w:t>87-3764229</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605 5th Ave S. Suite 400</w:t>
        <w:br/>
      </w:r>
      <w:bookmarkStart w:id="9" w:name="xdx_900_edei--EntityAddressCityOrTown_c2"/>
      <w:bookmarkEnd w:id="9"/>
      <w:r>
        <w:rPr>
          <w:rFonts w:ascii="Times New Roman;Times;Serif" w:hAnsi="Times New Roman;Times;Serif"/>
          <w:b/>
          <w:i w:val="false"/>
          <w:caps w:val="false"/>
          <w:smallCaps w:val="false"/>
          <w:sz w:val="20"/>
        </w:rPr>
        <w:t xml:space="preserve">Seattle, </w:t>
      </w:r>
      <w:bookmarkStart w:id="10" w:name="xdx_90C_edei--EntityAddressStateOrProvin"/>
      <w:bookmarkEnd w:id="10"/>
      <w:r>
        <w:rPr>
          <w:rFonts w:ascii="Times New Roman;Times;Serif" w:hAnsi="Times New Roman;Times;Serif"/>
          <w:b/>
          <w:i w:val="false"/>
          <w:caps w:val="false"/>
          <w:smallCaps w:val="false"/>
          <w:sz w:val="20"/>
        </w:rPr>
        <w:t xml:space="preserve">WA </w:t>
      </w:r>
      <w:bookmarkStart w:id="11" w:name="xdx_905_edei--EntityAddressPostalZipCode"/>
      <w:bookmarkEnd w:id="11"/>
      <w:r>
        <w:rPr>
          <w:rFonts w:ascii="Times New Roman;Times;Serif" w:hAnsi="Times New Roman;Times;Serif"/>
          <w:b/>
          <w:i w:val="false"/>
          <w:caps w:val="false"/>
          <w:smallCaps w:val="false"/>
          <w:sz w:val="20"/>
        </w:rPr>
        <w:t>98104</w:t>
        <w:b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1_edei--CityAreaCode_c20260707__20"/>
      <w:bookmarkEnd w:id="12"/>
      <w:r>
        <w:rPr>
          <w:rFonts w:ascii="Times New Roman;Times;Serif" w:hAnsi="Times New Roman;Times;Serif"/>
          <w:b/>
          <w:i w:val="false"/>
          <w:caps w:val="false"/>
          <w:smallCaps w:val="false"/>
          <w:sz w:val="20"/>
        </w:rPr>
        <w:t xml:space="preserve">206) </w:t>
      </w:r>
      <w:bookmarkStart w:id="13" w:name="xdx_903_edei--LocalPhoneNumber_c20260707"/>
      <w:bookmarkEnd w:id="13"/>
      <w:r>
        <w:rPr>
          <w:rFonts w:ascii="Times New Roman;Times;Serif" w:hAnsi="Times New Roman;Times;Serif"/>
          <w:b/>
          <w:i w:val="false"/>
          <w:caps w:val="false"/>
          <w:smallCaps w:val="false"/>
          <w:sz w:val="20"/>
        </w:rPr>
        <w:t xml:space="preserve">925-5000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9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4_edei--SolicitingMaterial_c202607"/>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30" w:type="dxa"/>
        <w:jc w:val="left"/>
        <w:tblInd w:w="0" w:type="dxa"/>
        <w:shd w:fill="FFFFFF" w:val="clear"/>
        <w:tblLayout w:type="fixed"/>
        <w:tblCellMar>
          <w:top w:w="0" w:type="dxa"/>
          <w:left w:w="0" w:type="dxa"/>
          <w:bottom w:w="28" w:type="dxa"/>
          <w:right w:w="0" w:type="dxa"/>
        </w:tblCellMar>
      </w:tblPr>
      <w:tblGrid>
        <w:gridCol w:w="1955"/>
        <w:gridCol w:w="60"/>
        <w:gridCol w:w="1610"/>
        <w:gridCol w:w="60"/>
        <w:gridCol w:w="3845"/>
      </w:tblGrid>
      <w:tr>
        <w:trPr/>
        <w:tc>
          <w:tcPr>
            <w:tcW w:w="1955"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5" w:type="dxa"/>
            <w:tcBorders>
              <w:bottom w:val="single" w:sz="12"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1955" w:type="dxa"/>
            <w:tcBorders/>
            <w:shd w:fill="CCEEFF" w:val="clear"/>
            <w:tcMar>
              <w:bottom w:w="0" w:type="dxa"/>
            </w:tcMar>
            <w:vAlign w:val="center"/>
          </w:tcPr>
          <w:p>
            <w:pPr>
              <w:pStyle w:val="TableContents"/>
              <w:bidi w:val="0"/>
              <w:spacing w:before="0" w:after="283"/>
              <w:jc w:val="center"/>
              <w:rPr>
                <w:sz w:val="20"/>
              </w:rPr>
            </w:pPr>
            <w:bookmarkStart w:id="18" w:name="xdx_903_edei--Security12bTitle_c20260707"/>
            <w:bookmarkEnd w:id="18"/>
            <w:r>
              <w:rPr>
                <w:sz w:val="20"/>
              </w:rPr>
              <w:t>Class A Common Stock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D_edei--TradingSymbol_c20260707__2"/>
            <w:bookmarkEnd w:id="19"/>
            <w:r>
              <w:rPr>
                <w:sz w:val="20"/>
              </w:rPr>
              <w:t>GETY</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845" w:type="dxa"/>
            <w:tcBorders/>
            <w:shd w:fill="CCEEFF" w:val="clear"/>
            <w:tcMar>
              <w:bottom w:w="0" w:type="dxa"/>
            </w:tcMar>
            <w:vAlign w:val="center"/>
          </w:tcPr>
          <w:p>
            <w:pPr>
              <w:pStyle w:val="TableContents"/>
              <w:bidi w:val="0"/>
              <w:spacing w:before="0" w:after="283"/>
              <w:jc w:val="center"/>
              <w:rPr>
                <w:sz w:val="20"/>
              </w:rPr>
            </w:pPr>
            <w:bookmarkStart w:id="20" w:name="xdx_904_edei--SecurityExchangeName_c2026"/>
            <w:bookmarkEnd w:id="20"/>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3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January 6, 2025, Getty Images Holdings, Inc. (“</w:t>
      </w:r>
      <w:r>
        <w:rPr>
          <w:rFonts w:ascii="Times New Roman;Times;Serif" w:hAnsi="Times New Roman;Times;Serif"/>
          <w:b w:val="false"/>
          <w:i w:val="false"/>
          <w:caps w:val="false"/>
          <w:smallCaps w:val="false"/>
          <w:sz w:val="20"/>
          <w:u w:val="single"/>
        </w:rPr>
        <w:t>Getty Images</w:t>
      </w:r>
      <w:r>
        <w:rPr>
          <w:rFonts w:ascii="Times New Roman;Times;Serif" w:hAnsi="Times New Roman;Times;Serif"/>
          <w:b w:val="false"/>
          <w:i w:val="false"/>
          <w:caps w:val="false"/>
          <w:smallCaps w:val="false"/>
          <w:sz w:val="20"/>
        </w:rPr>
        <w:t>”),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Getty Images, Shutterstock, Inc. (“</w:t>
      </w:r>
      <w:r>
        <w:rPr>
          <w:rFonts w:ascii="Times New Roman;Times;Serif" w:hAnsi="Times New Roman;Times;Serif"/>
          <w:b w:val="false"/>
          <w:i w:val="false"/>
          <w:caps w:val="false"/>
          <w:smallCaps w:val="false"/>
          <w:sz w:val="20"/>
          <w:u w:val="single"/>
        </w:rPr>
        <w:t>Shutterstock</w:t>
      </w:r>
      <w:r>
        <w:rPr>
          <w:rFonts w:ascii="Times New Roman;Times;Serif" w:hAnsi="Times New Roman;Times;Serif"/>
          <w:b w:val="false"/>
          <w:i w:val="false"/>
          <w:caps w:val="false"/>
          <w:smallCaps w:val="false"/>
          <w:sz w:val="20"/>
        </w:rPr>
        <w:t>”) and certain merger subsidiaries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also previously announced, on June 30, 2026, the Board of Directors of Getty Images unanimously resolved (a) not to proceed with the process to sell Shutterstock’s editorial business under the supervision of the U.K. Competition and Markets Authority (the “</w:t>
      </w:r>
      <w:r>
        <w:rPr>
          <w:rFonts w:ascii="Times New Roman;Times;Serif" w:hAnsi="Times New Roman;Times;Serif"/>
          <w:b w:val="false"/>
          <w:i w:val="false"/>
          <w:caps w:val="false"/>
          <w:smallCaps w:val="false"/>
          <w:sz w:val="20"/>
          <w:u w:val="single"/>
        </w:rPr>
        <w:t>CMA</w:t>
      </w:r>
      <w:r>
        <w:rPr>
          <w:rFonts w:ascii="Times New Roman;Times;Serif" w:hAnsi="Times New Roman;Times;Serif"/>
          <w:b w:val="false"/>
          <w:i w:val="false"/>
          <w:caps w:val="false"/>
          <w:smallCaps w:val="false"/>
          <w:sz w:val="20"/>
        </w:rPr>
        <w:t>”), which was a condition to the CMA’s required clearance of the transactions that Getty Images was not required to accept under the terms of the Merger Agreement and (b) to terminate the Merger Agreement following the passage of the Second Extended End Date (as defined in the Merger Agreement) on July 6, 2026, assuming no material change in the aforementioned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Getty Images delivered a written notice to Shutterstock terminating the Merger Agreement pursuant to the terms thereof, effective upon delivery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termination of the Merger Agreement, Getty Images, Inc.’s outstanding 10.500% senior secured notes due 2030 (the “</w:t>
      </w:r>
      <w:r>
        <w:rPr>
          <w:rFonts w:ascii="Times New Roman;Times;Serif" w:hAnsi="Times New Roman;Times;Serif"/>
          <w:b w:val="false"/>
          <w:i w:val="false"/>
          <w:caps w:val="false"/>
          <w:smallCaps w:val="false"/>
          <w:sz w:val="20"/>
          <w:u w:val="single"/>
        </w:rPr>
        <w:t>Senior Secured Notes</w:t>
      </w:r>
      <w:r>
        <w:rPr>
          <w:rFonts w:ascii="Times New Roman;Times;Serif" w:hAnsi="Times New Roman;Times;Serif"/>
          <w:b w:val="false"/>
          <w:i w:val="false"/>
          <w:caps w:val="false"/>
          <w:smallCaps w:val="false"/>
          <w:sz w:val="20"/>
        </w:rPr>
        <w:t>”) will be redeemed pursuant to the terms of the indenture governing the Senior Secured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 this document, and any related oral statements, include forward-looking statements concerning Getty Images, Shutterstock, the terminated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document relate to, among other things, the redemption of the Senior Secured Notes. For a discussion of factors that could cause actual results to differ materially from those contemplated by forward-looking statements, see the section captioned “Risk Factors” in Getty Images’ Annual Report on Form 10-K for the fiscal year ended December 31, 2025 and other of its filings with the United States Securities and Exchange Commission. Should one or more of these risks or uncertainties materialize, or should underlying assumptions prove incorrect, actual results may vary materially from those indicated or anticipated by such forward looking statements. While the list of factors presented here is considered representative, no such list should be considered to be a complete statement of all potential risks and uncertainties. Unlisted factors may present significant additional obstacles to the realization of forward looking statements. Getty Images does not assume, and hereby disclaims, any obligation to update forward-looking statements,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5040" w:right="0" w:hanging="0"/>
        <w:jc w:val="left"/>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1775"/>
        <w:gridCol w:w="710"/>
        <w:gridCol w:w="6215"/>
      </w:tblGrid>
      <w:tr>
        <w:trPr/>
        <w:tc>
          <w:tcPr>
            <w:tcW w:w="1775" w:type="dxa"/>
            <w:tcBorders/>
            <w:vAlign w:val="center"/>
          </w:tcPr>
          <w:p>
            <w:pPr>
              <w:pStyle w:val="TableContents"/>
              <w:bidi w:val="0"/>
              <w:spacing w:before="0" w:after="283"/>
              <w:jc w:val="left"/>
              <w:rPr/>
            </w:pPr>
            <w:r>
              <w:rPr/>
              <w:t> </w:t>
            </w:r>
          </w:p>
        </w:tc>
        <w:tc>
          <w:tcPr>
            <w:tcW w:w="6925" w:type="dxa"/>
            <w:gridSpan w:val="2"/>
            <w:tcBorders/>
            <w:vAlign w:val="center"/>
          </w:tcPr>
          <w:p>
            <w:pPr>
              <w:pStyle w:val="TableContents"/>
              <w:bidi w:val="0"/>
              <w:spacing w:before="0" w:after="283"/>
              <w:jc w:val="left"/>
              <w:rPr>
                <w:b/>
              </w:rPr>
            </w:pPr>
            <w:r>
              <w:rPr>
                <w:b/>
              </w:rPr>
              <w:t>GETTY IMAGES HOLDINGS, INC.</w:t>
            </w:r>
          </w:p>
        </w:tc>
      </w:tr>
      <w:tr>
        <w:trPr/>
        <w:tc>
          <w:tcPr>
            <w:tcW w:w="1775" w:type="dxa"/>
            <w:tcBorders/>
            <w:vAlign w:val="center"/>
          </w:tcPr>
          <w:p>
            <w:pPr>
              <w:pStyle w:val="TableContents"/>
              <w:bidi w:val="0"/>
              <w:spacing w:before="0" w:after="283"/>
              <w:jc w:val="left"/>
              <w:rPr/>
            </w:pPr>
            <w:r>
              <w:rPr/>
              <w:t> </w:t>
            </w:r>
          </w:p>
        </w:tc>
        <w:tc>
          <w:tcPr>
            <w:tcW w:w="6925" w:type="dxa"/>
            <w:gridSpan w:val="2"/>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Date: July 7, 2026</w:t>
            </w:r>
          </w:p>
        </w:tc>
        <w:tc>
          <w:tcPr>
            <w:tcW w:w="710" w:type="dxa"/>
            <w:tcBorders/>
            <w:vAlign w:val="center"/>
          </w:tcPr>
          <w:p>
            <w:pPr>
              <w:pStyle w:val="TableContents"/>
              <w:bidi w:val="0"/>
              <w:spacing w:before="0" w:after="283"/>
              <w:jc w:val="left"/>
              <w:rPr/>
            </w:pPr>
            <w:r>
              <w:rPr/>
              <w:t>By:</w:t>
            </w:r>
          </w:p>
        </w:tc>
        <w:tc>
          <w:tcPr>
            <w:tcW w:w="6215" w:type="dxa"/>
            <w:tcBorders>
              <w:bottom w:val="single" w:sz="12" w:space="0" w:color="000000"/>
            </w:tcBorders>
            <w:tcMar>
              <w:bottom w:w="28" w:type="dxa"/>
            </w:tcMar>
            <w:vAlign w:val="center"/>
          </w:tcPr>
          <w:p>
            <w:pPr>
              <w:pStyle w:val="TableContents"/>
              <w:bidi w:val="0"/>
              <w:spacing w:before="0" w:after="283"/>
              <w:jc w:val="left"/>
              <w:rPr/>
            </w:pPr>
            <w:r>
              <w:rPr/>
              <w:t>/s/ Kjelti Kellough</w:t>
            </w:r>
          </w:p>
        </w:tc>
      </w:tr>
      <w:tr>
        <w:trPr/>
        <w:tc>
          <w:tcPr>
            <w:tcW w:w="17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6215" w:type="dxa"/>
            <w:tcBorders/>
            <w:vAlign w:val="center"/>
          </w:tcPr>
          <w:p>
            <w:pPr>
              <w:pStyle w:val="TableContents"/>
              <w:bidi w:val="0"/>
              <w:spacing w:before="0" w:after="283"/>
              <w:jc w:val="left"/>
              <w:rPr/>
            </w:pPr>
            <w:r>
              <w:rPr/>
              <w:t>Kjelti Kellough</w:t>
            </w:r>
          </w:p>
        </w:tc>
      </w:tr>
      <w:tr>
        <w:trPr/>
        <w:tc>
          <w:tcPr>
            <w:tcW w:w="17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6215" w:type="dxa"/>
            <w:tcBorders/>
            <w:vAlign w:val="center"/>
          </w:tcPr>
          <w:p>
            <w:pPr>
              <w:pStyle w:val="TableContents"/>
              <w:bidi w:val="0"/>
              <w:spacing w:before="0" w:after="283"/>
              <w:jc w:val="left"/>
              <w:rPr/>
            </w:pPr>
            <w:r>
              <w:rPr/>
              <w:t>Senior Vice President, General Counsel, and Corporate Secretary</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965</Words>
  <Characters>5540</Characters>
  <CharactersWithSpaces>6505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