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703-8k_getty.htm"/>
      <w:bookmarkStart w:id="1" w:name="ksea02987038k_getty"/>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720__20"/>
      <w:bookmarkEnd w:id="2"/>
      <w:r>
        <w:rPr>
          <w:rFonts w:ascii="Times New Roman;Times;Serif" w:hAnsi="Times New Roman;Times;Serif"/>
          <w:b/>
          <w:i w:val="false"/>
          <w:caps w:val="false"/>
          <w:smallCaps w:val="false"/>
          <w:sz w:val="20"/>
        </w:rPr>
        <w:t>8-K</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July 20, 2026</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717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438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rPr>
            </w:pPr>
            <w:bookmarkStart w:id="5" w:name="xdx_905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8_edei--EntityFileNumber_c20260720"/>
            <w:bookmarkEnd w:id="6"/>
            <w:r>
              <w:rPr>
                <w:b/>
              </w:rPr>
              <w:t>001-41453</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8_edei--EntityTaxIdentificationNum"/>
            <w:bookmarkEnd w:id="7"/>
            <w:r>
              <w:rPr>
                <w:b/>
              </w:rPr>
              <w:t>87-3764229</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bookmarkStart w:id="8" w:name="xdx_90A_edei--EntityAddressAddressLine1_"/>
            <w:bookmarkEnd w:id="8"/>
            <w:r>
              <w:rPr>
                <w:b/>
              </w:rPr>
              <w:t>605 5th Ave S. Suite 400</w:t>
              <w:br/>
            </w:r>
            <w:bookmarkStart w:id="9" w:name="xdx_90F_edei--EntityAddressCityOrTown_c2"/>
            <w:bookmarkEnd w:id="9"/>
            <w:r>
              <w:rPr>
                <w:b/>
              </w:rPr>
              <w:t xml:space="preserve">Seattle, </w:t>
            </w:r>
            <w:bookmarkStart w:id="10" w:name="xdx_900_edei--EntityAddressStateOrProvin"/>
            <w:bookmarkEnd w:id="10"/>
            <w:r>
              <w:rPr>
                <w:b/>
              </w:rPr>
              <w:t>WA</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B_edei--EntityAddressPostalZipCode"/>
            <w:bookmarkEnd w:id="11"/>
            <w:r>
              <w:rPr>
                <w:b/>
              </w:rPr>
              <w:t>98104</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2_edei--CityAreaCode_c20260720__20"/>
      <w:bookmarkEnd w:id="12"/>
      <w:r>
        <w:rPr>
          <w:rFonts w:ascii="Times New Roman;Times;Serif" w:hAnsi="Times New Roman;Times;Serif"/>
          <w:b/>
          <w:i w:val="false"/>
          <w:caps w:val="false"/>
          <w:smallCaps w:val="false"/>
          <w:sz w:val="20"/>
        </w:rPr>
        <w:t xml:space="preserve">206) </w:t>
      </w:r>
      <w:bookmarkStart w:id="13" w:name="xdx_903_edei--LocalPhoneNumber_c20260720"/>
      <w:bookmarkEnd w:id="13"/>
      <w:r>
        <w:rPr>
          <w:rFonts w:ascii="Times New Roman;Times;Serif" w:hAnsi="Times New Roman;Times;Serif"/>
          <w:b/>
          <w:i w:val="false"/>
          <w:caps w:val="false"/>
          <w:smallCaps w:val="false"/>
          <w:sz w:val="20"/>
        </w:rPr>
        <w:t>925-5000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br/>
      </w:r>
      <w:r>
        <w:rPr>
          <w:rFonts w:ascii="Times New Roman;Times;Serif" w:hAnsi="Times New Roman;Times;Serif"/>
          <w:b w:val="false"/>
          <w:i w:val="false"/>
          <w:caps w:val="false"/>
          <w:smallCaps w:val="false"/>
          <w:sz w:val="20"/>
        </w:rPr>
        <w:t>(Former Name or Former Address, if Changed Since Last Report)</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A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2330"/>
        <w:gridCol w:w="60"/>
        <w:gridCol w:w="1925"/>
        <w:gridCol w:w="60"/>
        <w:gridCol w:w="4475"/>
      </w:tblGrid>
      <w:tr>
        <w:trPr/>
        <w:tc>
          <w:tcPr>
            <w:tcW w:w="233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2330" w:type="dxa"/>
            <w:tcBorders/>
            <w:shd w:fill="CCEEFF" w:val="clear"/>
            <w:tcMar>
              <w:bottom w:w="0" w:type="dxa"/>
            </w:tcMar>
            <w:vAlign w:val="center"/>
          </w:tcPr>
          <w:p>
            <w:pPr>
              <w:pStyle w:val="TableContents"/>
              <w:bidi w:val="0"/>
              <w:spacing w:before="0" w:after="283"/>
              <w:jc w:val="center"/>
              <w:rPr/>
            </w:pPr>
            <w:bookmarkStart w:id="18" w:name="xdx_909_edei--Security12bTitle_c20260720"/>
            <w:bookmarkEnd w:id="18"/>
            <w:r>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bookmarkStart w:id="19" w:name="xdx_90C_edei--TradingSymbol_c20260720__2"/>
            <w:bookmarkEnd w:id="19"/>
            <w:r>
              <w:rPr/>
              <w:t>GETY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pPr>
            <w:bookmarkStart w:id="20" w:name="xdx_90A_edei--SecurityExchangeName_c2026"/>
            <w:bookmarkEnd w:id="20"/>
            <w:r>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Elizabeth Abrams and Thomas Walper to the Board of Directors and Elizabeth Abrams as a Member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upon the recommendation of its Nominating and Corporate Governance Committee,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Getty Images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appointed Elizabeth Abrams and Thomas Walper as directors, effective July 20, 2026. Ms. Abrams will serve as a Class III director and will be nominated for re-election at the Company’s 2028 Annual Meeting of Shareholders. Mr. Walper will serve as a Class I director and will be nominated for re-election at the Company’s next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to the Board, Ms. Abrams was also appointed by the Board as a member of the Audit Committee of the Board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effective July 20, 2026. The Board has determined that Ms. Abrams satisfies the independence requirements of Rule 10A-3 under the Securities Exchange Act of 1934, as amended, and the listing standards of the New York Stock Exchange for members of the Audit Committee. Mr. Walper will not initially serve on any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Abrams’ and Mr. Walper’s appointment to the Board, on July 20, 2026, the Company entered into independent director agreements with both Ms. Abrams and Mr. Walper. The independent director agreements govern the terms of Ms. Abrams’ and Mr. Walper’s appointment and contain standard confidentiality and indemnification provisions. Pursuant to the terms of the independent director agreements, Ms. Abrams and Mr. Walper will be entitled to (i) a monthly fee of $50,000, payable in advance each month before the first day of each applicable period, and (ii) certain fees for days on which Ms. Abrams or Mr. Walper devote more than four (4) hours of their time, outside of committee meetings or official Board meetings. Ms. Abrams will also be entitled to an additional monthly fee of $10,000 for her service on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Abrams or Mr. Walper and any other persons pursuant to which they were elected as directors. There are no transactions and no proposed transactions between Ms. Abrams or Mr. Walper and the Company that would be required to be disclosed as related person transactions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Hilary Schneider from the Board of Directors, Audit Committee and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Hilary Schneider submitted her resignation as a member of the Board, the Audit Committee and the Compensation Committee of the Board, to be effective July 20, 2026, to focus on other professional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Schneider’s resignation is not due to any disagreement with the Company or any matter related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recently engaged Guggenheim Securities, LLC to act as a financial advisor in connection with the Company’s previously announced evaluation of strategic financing alternatives and balance sheet management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21, 2026</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710"/>
        <w:gridCol w:w="6215"/>
      </w:tblGrid>
      <w:tr>
        <w:trPr/>
        <w:tc>
          <w:tcPr>
            <w:tcW w:w="75" w:type="dxa"/>
            <w:tcBorders/>
            <w:vAlign w:val="center"/>
          </w:tcPr>
          <w:p>
            <w:pPr>
              <w:pStyle w:val="TableContents"/>
              <w:bidi w:val="0"/>
              <w:spacing w:before="0" w:after="283"/>
              <w:jc w:val="left"/>
              <w:rPr/>
            </w:pPr>
            <w:r>
              <w:rPr/>
              <w:t> </w:t>
            </w:r>
          </w:p>
        </w:tc>
        <w:tc>
          <w:tcPr>
            <w:tcW w:w="6925" w:type="dxa"/>
            <w:gridSpan w:val="2"/>
            <w:tcBorders/>
            <w:vAlign w:val="center"/>
          </w:tcPr>
          <w:p>
            <w:pPr>
              <w:pStyle w:val="TableContents"/>
              <w:bidi w:val="0"/>
              <w:spacing w:before="0" w:after="283"/>
              <w:jc w:val="left"/>
              <w:rPr>
                <w:b/>
              </w:rPr>
            </w:pPr>
            <w:r>
              <w:rPr>
                <w:b/>
              </w:rPr>
              <w:t>GETTY IMAGES HOLDINGS,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6215" w:type="dxa"/>
            <w:tcBorders>
              <w:bottom w:val="single" w:sz="12" w:space="0" w:color="000000"/>
            </w:tcBorders>
            <w:tcMar>
              <w:bottom w:w="28" w:type="dxa"/>
            </w:tcMar>
            <w:vAlign w:val="center"/>
          </w:tcPr>
          <w:p>
            <w:pPr>
              <w:pStyle w:val="TableContents"/>
              <w:bidi w:val="0"/>
              <w:spacing w:before="0" w:after="283"/>
              <w:jc w:val="left"/>
              <w:rPr/>
            </w:pPr>
            <w:r>
              <w:rPr/>
              <w:t>/s/ Kjelti Kellough</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6215" w:type="dxa"/>
            <w:tcBorders/>
            <w:vAlign w:val="center"/>
          </w:tcPr>
          <w:p>
            <w:pPr>
              <w:pStyle w:val="TableContents"/>
              <w:bidi w:val="0"/>
              <w:spacing w:before="0" w:after="283"/>
              <w:jc w:val="left"/>
              <w:rPr/>
            </w:pPr>
            <w:r>
              <w:rPr/>
              <w:t>Kjelti Kellough</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621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877</Words>
  <Characters>4751</Characters>
  <CharactersWithSpaces>5634</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